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8"/>
        <w:gridCol w:w="539"/>
        <w:gridCol w:w="1671"/>
        <w:gridCol w:w="567"/>
        <w:gridCol w:w="1880"/>
        <w:gridCol w:w="529"/>
      </w:tblGrid>
      <w:tr w:rsidRPr="00AF7B8E" w:rsidR="00230CB9" w:rsidTr="053E65AD" w14:paraId="2AF17199" w14:textId="77777777">
        <w:trPr>
          <w:jc w:val="center"/>
        </w:trPr>
        <w:tc>
          <w:tcPr>
            <w:tcW w:w="1668" w:type="dxa"/>
            <w:shd w:val="clear" w:color="auto" w:fill="auto"/>
            <w:tcMar/>
          </w:tcPr>
          <w:p w:rsidRPr="00AF7B8E" w:rsidR="00230CB9" w:rsidP="053E65AD" w:rsidRDefault="00230CB9" w14:paraId="2F6786EF" w14:textId="77777777" w14:noSpellErr="1">
            <w:pPr>
              <w:widowControl w:val="1"/>
              <w:suppressAutoHyphens w:val="0"/>
              <w:jc w:val="left"/>
              <w:rPr>
                <w:rFonts w:eastAsia="Times New Roman" w:cs="Times New Roman"/>
                <w:b w:val="1"/>
                <w:bCs w:val="1"/>
                <w:sz w:val="18"/>
                <w:szCs w:val="18"/>
              </w:rPr>
            </w:pPr>
            <w:r w:rsidRPr="053E65AD" w:rsidR="00230CB9">
              <w:rPr>
                <w:rFonts w:eastAsia="Times New Roman" w:cs="Times New Roman"/>
                <w:b w:val="1"/>
                <w:bCs w:val="1"/>
                <w:sz w:val="18"/>
                <w:szCs w:val="18"/>
              </w:rPr>
              <w:t>Creación Grupo</w:t>
            </w:r>
          </w:p>
        </w:tc>
        <w:tc>
          <w:tcPr>
            <w:tcW w:w="539" w:type="dxa"/>
            <w:shd w:val="clear" w:color="auto" w:fill="auto"/>
            <w:tcMar/>
          </w:tcPr>
          <w:p w:rsidRPr="00AF7B8E" w:rsidR="00230CB9" w:rsidP="345FD012" w:rsidRDefault="00230CB9" w14:paraId="672A6659" w14:textId="77777777">
            <w:pPr>
              <w:widowControl/>
              <w:suppressAutoHyphens w:val="0"/>
              <w:jc w:val="center"/>
              <w:rPr>
                <w:rFonts w:eastAsia="Times New Roman" w:cs="Times New Roman"/>
                <w:b/>
                <w:bCs/>
                <w:sz w:val="18"/>
                <w:szCs w:val="18"/>
              </w:rPr>
            </w:pPr>
          </w:p>
        </w:tc>
        <w:tc>
          <w:tcPr>
            <w:tcW w:w="1671" w:type="dxa"/>
            <w:shd w:val="clear" w:color="auto" w:fill="auto"/>
            <w:tcMar/>
          </w:tcPr>
          <w:p w:rsidRPr="00AF7B8E" w:rsidR="00230CB9" w:rsidP="345FD012" w:rsidRDefault="000E6104" w14:paraId="2CB3CA79" w14:textId="77777777">
            <w:pPr>
              <w:widowControl/>
              <w:suppressAutoHyphens w:val="0"/>
              <w:jc w:val="center"/>
              <w:rPr>
                <w:rFonts w:eastAsia="Times New Roman" w:cs="Times New Roman"/>
                <w:b/>
                <w:bCs/>
                <w:sz w:val="18"/>
                <w:szCs w:val="18"/>
              </w:rPr>
            </w:pPr>
            <w:r w:rsidRPr="345FD012">
              <w:rPr>
                <w:rFonts w:eastAsia="Times New Roman" w:cs="Times New Roman"/>
                <w:b/>
                <w:bCs/>
                <w:sz w:val="18"/>
                <w:szCs w:val="18"/>
              </w:rPr>
              <w:t xml:space="preserve">Creación </w:t>
            </w:r>
            <w:r w:rsidRPr="345FD012" w:rsidR="00230CB9">
              <w:rPr>
                <w:rFonts w:eastAsia="Times New Roman" w:cs="Times New Roman"/>
                <w:b/>
                <w:bCs/>
                <w:sz w:val="18"/>
                <w:szCs w:val="18"/>
              </w:rPr>
              <w:t>Línea</w:t>
            </w:r>
          </w:p>
        </w:tc>
        <w:tc>
          <w:tcPr>
            <w:tcW w:w="567" w:type="dxa"/>
            <w:shd w:val="clear" w:color="auto" w:fill="auto"/>
            <w:tcMar/>
          </w:tcPr>
          <w:p w:rsidRPr="00AF7B8E" w:rsidR="00230CB9" w:rsidP="345FD012" w:rsidRDefault="00FF18B5" w14:paraId="0A37501D" w14:textId="7E0CB5EC">
            <w:pPr>
              <w:widowControl/>
              <w:suppressAutoHyphens w:val="0"/>
              <w:jc w:val="center"/>
              <w:rPr>
                <w:rFonts w:eastAsia="Times New Roman" w:cs="Times New Roman"/>
                <w:b/>
                <w:bCs/>
                <w:sz w:val="18"/>
                <w:szCs w:val="18"/>
              </w:rPr>
            </w:pPr>
            <w:r>
              <w:rPr>
                <w:rFonts w:eastAsia="Times New Roman" w:cs="Times New Roman"/>
                <w:b/>
                <w:bCs/>
                <w:sz w:val="18"/>
                <w:szCs w:val="18"/>
              </w:rPr>
              <w:t>X</w:t>
            </w:r>
          </w:p>
        </w:tc>
        <w:tc>
          <w:tcPr>
            <w:tcW w:w="1880" w:type="dxa"/>
            <w:shd w:val="clear" w:color="auto" w:fill="auto"/>
            <w:tcMar/>
          </w:tcPr>
          <w:p w:rsidRPr="00AF7B8E" w:rsidR="00230CB9" w:rsidP="345FD012" w:rsidRDefault="000E6104" w14:paraId="77271063" w14:textId="77777777">
            <w:pPr>
              <w:widowControl/>
              <w:suppressAutoHyphens w:val="0"/>
              <w:jc w:val="center"/>
              <w:rPr>
                <w:rFonts w:eastAsia="Times New Roman" w:cs="Times New Roman"/>
                <w:b/>
                <w:bCs/>
                <w:sz w:val="18"/>
                <w:szCs w:val="18"/>
              </w:rPr>
            </w:pPr>
            <w:r w:rsidRPr="345FD012">
              <w:rPr>
                <w:rFonts w:eastAsia="Times New Roman" w:cs="Times New Roman"/>
                <w:b/>
                <w:bCs/>
                <w:sz w:val="18"/>
                <w:szCs w:val="18"/>
              </w:rPr>
              <w:t xml:space="preserve">Reformulación </w:t>
            </w:r>
            <w:r w:rsidRPr="345FD012" w:rsidR="00230CB9">
              <w:rPr>
                <w:rFonts w:eastAsia="Times New Roman" w:cs="Times New Roman"/>
                <w:b/>
                <w:bCs/>
                <w:sz w:val="18"/>
                <w:szCs w:val="18"/>
              </w:rPr>
              <w:t>Línea</w:t>
            </w:r>
          </w:p>
        </w:tc>
        <w:tc>
          <w:tcPr>
            <w:tcW w:w="529" w:type="dxa"/>
            <w:shd w:val="clear" w:color="auto" w:fill="auto"/>
            <w:tcMar/>
          </w:tcPr>
          <w:p w:rsidRPr="00AF7B8E" w:rsidR="00230CB9" w:rsidP="345FD012" w:rsidRDefault="00230CB9" w14:paraId="33096EF0" w14:textId="2E060FA6">
            <w:pPr>
              <w:widowControl/>
              <w:suppressAutoHyphens w:val="0"/>
              <w:jc w:val="center"/>
              <w:rPr>
                <w:rFonts w:eastAsia="Times New Roman" w:cs="Times New Roman"/>
                <w:b/>
                <w:bCs/>
                <w:sz w:val="18"/>
                <w:szCs w:val="18"/>
              </w:rPr>
            </w:pPr>
          </w:p>
        </w:tc>
      </w:tr>
    </w:tbl>
    <w:p w:rsidRPr="00126B90" w:rsidR="00D07657" w:rsidP="345FD012" w:rsidRDefault="00D07657" w14:paraId="5DAB6C7B" w14:textId="77777777">
      <w:pPr>
        <w:widowControl/>
        <w:suppressAutoHyphens w:val="0"/>
        <w:jc w:val="center"/>
        <w:rPr>
          <w:rFonts w:eastAsia="Times New Roman" w:cs="Times New Roman"/>
          <w:b/>
          <w:bCs/>
        </w:rPr>
      </w:pPr>
    </w:p>
    <w:tbl>
      <w:tblPr>
        <w:tblW w:w="967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2"/>
        <w:gridCol w:w="9531"/>
      </w:tblGrid>
      <w:tr w:rsidRPr="00126B90" w:rsidR="00EC76A6" w:rsidTr="423DC7A3" w14:paraId="07B4EAA2" w14:textId="77777777">
        <w:trPr>
          <w:gridBefore w:val="1"/>
          <w:wBefore w:w="142" w:type="dxa"/>
          <w:trHeight w:val="20"/>
        </w:trPr>
        <w:tc>
          <w:tcPr>
            <w:tcW w:w="9531" w:type="dxa"/>
            <w:tcBorders>
              <w:top w:val="nil"/>
              <w:left w:val="nil"/>
              <w:right w:val="nil"/>
            </w:tcBorders>
            <w:tcMar/>
            <w:vAlign w:val="center"/>
          </w:tcPr>
          <w:p w:rsidRPr="00FF18B5" w:rsidR="00EC76A6" w:rsidP="053E65AD" w:rsidRDefault="00A375E7" w14:paraId="439CB228" w14:textId="77777777" w14:noSpellErr="1">
            <w:pPr>
              <w:rPr>
                <w:rFonts w:ascii="Times New Roman" w:hAnsi="Times New Roman" w:eastAsia="Times New Roman" w:cs="Times New Roman"/>
                <w:b w:val="1"/>
                <w:bCs w:val="1"/>
                <w:sz w:val="24"/>
                <w:szCs w:val="24"/>
                <w:lang w:val="es-ES"/>
              </w:rPr>
            </w:pPr>
            <w:r w:rsidRPr="053E65AD" w:rsidR="00A375E7">
              <w:rPr>
                <w:rFonts w:ascii="Times New Roman" w:hAnsi="Times New Roman" w:eastAsia="Times New Roman" w:cs="Times New Roman"/>
                <w:b w:val="1"/>
                <w:bCs w:val="1"/>
                <w:sz w:val="24"/>
                <w:szCs w:val="24"/>
                <w:lang w:val="es-ES"/>
              </w:rPr>
              <w:t>Nombre del</w:t>
            </w:r>
            <w:r w:rsidRPr="053E65AD" w:rsidR="00F3106A">
              <w:rPr>
                <w:rFonts w:ascii="Times New Roman" w:hAnsi="Times New Roman" w:eastAsia="Times New Roman" w:cs="Times New Roman"/>
                <w:b w:val="1"/>
                <w:bCs w:val="1"/>
                <w:sz w:val="24"/>
                <w:szCs w:val="24"/>
                <w:lang w:val="es-ES"/>
              </w:rPr>
              <w:t xml:space="preserve"> </w:t>
            </w:r>
            <w:r w:rsidRPr="053E65AD" w:rsidR="00DA4B02">
              <w:rPr>
                <w:rFonts w:ascii="Times New Roman" w:hAnsi="Times New Roman" w:eastAsia="Times New Roman" w:cs="Times New Roman"/>
                <w:b w:val="1"/>
                <w:bCs w:val="1"/>
                <w:sz w:val="24"/>
                <w:szCs w:val="24"/>
                <w:lang w:val="es-ES"/>
              </w:rPr>
              <w:t xml:space="preserve">Grupo o Línea </w:t>
            </w:r>
            <w:r w:rsidRPr="053E65AD" w:rsidR="00A375E7">
              <w:rPr>
                <w:rFonts w:ascii="Times New Roman" w:hAnsi="Times New Roman" w:eastAsia="Times New Roman" w:cs="Times New Roman"/>
                <w:b w:val="1"/>
                <w:bCs w:val="1"/>
                <w:sz w:val="24"/>
                <w:szCs w:val="24"/>
                <w:lang w:val="es-ES"/>
              </w:rPr>
              <w:t>de Investigación</w:t>
            </w:r>
          </w:p>
        </w:tc>
      </w:tr>
      <w:tr w:rsidRPr="00126B90" w:rsidR="00EC76A6" w:rsidTr="423DC7A3" w14:paraId="52B928B5" w14:textId="77777777">
        <w:trPr>
          <w:gridBefore w:val="1"/>
          <w:wBefore w:w="142" w:type="dxa"/>
          <w:trHeight w:val="20"/>
        </w:trPr>
        <w:tc>
          <w:tcPr>
            <w:tcW w:w="9531" w:type="dxa"/>
            <w:tcBorders>
              <w:bottom w:val="single" w:color="auto" w:sz="4" w:space="0"/>
            </w:tcBorders>
            <w:tcMar/>
            <w:vAlign w:val="center"/>
          </w:tcPr>
          <w:p w:rsidRPr="00126B90" w:rsidR="00EC76A6" w:rsidP="053E65AD" w:rsidRDefault="00555AD9" w14:paraId="0A9E2068" w14:textId="72DC48C3" w14:noSpellErr="1">
            <w:pPr>
              <w:rPr>
                <w:rFonts w:ascii="Times New Roman" w:hAnsi="Times New Roman" w:eastAsia="Times New Roman" w:cs="Times New Roman"/>
                <w:sz w:val="24"/>
                <w:szCs w:val="24"/>
                <w:lang w:val="es-ES"/>
              </w:rPr>
            </w:pPr>
            <w:r w:rsidRPr="053E65AD" w:rsidR="00555AD9">
              <w:rPr>
                <w:rFonts w:ascii="Times New Roman" w:hAnsi="Times New Roman" w:eastAsia="Times New Roman" w:cs="Times New Roman"/>
                <w:sz w:val="24"/>
                <w:szCs w:val="24"/>
                <w:lang w:val="es-ES"/>
              </w:rPr>
              <w:t xml:space="preserve">Línea de investigación en </w:t>
            </w:r>
            <w:r w:rsidRPr="053E65AD" w:rsidR="00FF18B5">
              <w:rPr>
                <w:rFonts w:ascii="Times New Roman" w:hAnsi="Times New Roman" w:eastAsia="Times New Roman" w:cs="Times New Roman"/>
                <w:sz w:val="24"/>
                <w:szCs w:val="24"/>
                <w:lang w:val="es-ES"/>
              </w:rPr>
              <w:t>Representaciones Sociales y Subjetividades: Feminismos, género, interseccionalidad y resistencias</w:t>
            </w:r>
          </w:p>
        </w:tc>
      </w:tr>
      <w:tr w:rsidRPr="00126B90" w:rsidR="00E315AE" w:rsidTr="423DC7A3" w14:paraId="22FE7B50" w14:textId="77777777">
        <w:trPr>
          <w:gridBefore w:val="1"/>
          <w:wBefore w:w="142" w:type="dxa"/>
          <w:trHeight w:val="20"/>
        </w:trPr>
        <w:tc>
          <w:tcPr>
            <w:tcW w:w="9531" w:type="dxa"/>
            <w:tcBorders>
              <w:left w:val="nil"/>
              <w:bottom w:val="single" w:color="auto" w:sz="4" w:space="0"/>
              <w:right w:val="nil"/>
            </w:tcBorders>
            <w:tcMar/>
            <w:vAlign w:val="center"/>
          </w:tcPr>
          <w:p w:rsidRPr="00126B90" w:rsidR="00E315AE" w:rsidP="053E65AD" w:rsidRDefault="00E315AE" w14:paraId="04ECC19C" w14:textId="07E055BB" w14:noSpellErr="1">
            <w:pPr>
              <w:pStyle w:val="Textonotapie"/>
              <w:jc w:val="both"/>
              <w:rPr>
                <w:rFonts w:ascii="Times New Roman" w:hAnsi="Times New Roman" w:eastAsia="Times New Roman" w:cs="Times New Roman"/>
                <w:sz w:val="24"/>
                <w:szCs w:val="24"/>
                <w:lang w:val="es-ES"/>
              </w:rPr>
            </w:pPr>
          </w:p>
        </w:tc>
      </w:tr>
      <w:tr w:rsidRPr="00126B90" w:rsidR="00E315AE" w:rsidTr="423DC7A3" w14:paraId="610A46D9" w14:textId="77777777">
        <w:trPr>
          <w:gridBefore w:val="1"/>
          <w:wBefore w:w="142" w:type="dxa"/>
          <w:trHeight w:val="20"/>
        </w:trPr>
        <w:tc>
          <w:tcPr>
            <w:tcW w:w="9531" w:type="dxa"/>
            <w:tcBorders>
              <w:bottom w:val="single" w:color="auto" w:sz="4" w:space="0"/>
            </w:tcBorders>
            <w:tcMar/>
            <w:vAlign w:val="center"/>
          </w:tcPr>
          <w:p w:rsidR="00643777" w:rsidP="053E65AD" w:rsidRDefault="00643777" w14:paraId="6A05A809" w14:textId="77777777" w14:noSpellErr="1">
            <w:pPr>
              <w:rPr>
                <w:rFonts w:ascii="Times New Roman" w:hAnsi="Times New Roman" w:eastAsia="Times New Roman" w:cs="Times New Roman"/>
                <w:b w:val="1"/>
                <w:bCs w:val="1"/>
                <w:sz w:val="24"/>
                <w:szCs w:val="24"/>
                <w:lang w:val="es-ES"/>
              </w:rPr>
            </w:pPr>
          </w:p>
          <w:p w:rsidRPr="00643777" w:rsidR="001B04BB" w:rsidP="053E65AD" w:rsidRDefault="00643777" w14:paraId="10FA3444" w14:textId="77777777" w14:noSpellErr="1">
            <w:pPr>
              <w:rPr>
                <w:rFonts w:ascii="Times New Roman" w:hAnsi="Times New Roman" w:eastAsia="Times New Roman" w:cs="Times New Roman"/>
                <w:b w:val="1"/>
                <w:bCs w:val="1"/>
                <w:sz w:val="24"/>
                <w:szCs w:val="24"/>
                <w:lang w:val="es-ES"/>
              </w:rPr>
            </w:pPr>
            <w:r w:rsidRPr="053E65AD" w:rsidR="00643777">
              <w:rPr>
                <w:rFonts w:ascii="Times New Roman" w:hAnsi="Times New Roman" w:eastAsia="Times New Roman" w:cs="Times New Roman"/>
                <w:b w:val="1"/>
                <w:bCs w:val="1"/>
                <w:sz w:val="24"/>
                <w:szCs w:val="24"/>
                <w:lang w:val="es-ES"/>
              </w:rPr>
              <w:t xml:space="preserve">Descripción del objeto de estudio: </w:t>
            </w:r>
          </w:p>
          <w:p w:rsidR="00643777" w:rsidP="053E65AD" w:rsidRDefault="00643777" w14:paraId="5A39BBE3" w14:textId="77777777" w14:noSpellErr="1">
            <w:pPr>
              <w:rPr>
                <w:rFonts w:ascii="Times New Roman" w:hAnsi="Times New Roman" w:eastAsia="Times New Roman" w:cs="Times New Roman"/>
                <w:sz w:val="24"/>
                <w:szCs w:val="24"/>
                <w:lang w:val="es-ES"/>
              </w:rPr>
            </w:pPr>
          </w:p>
          <w:p w:rsidR="00643777" w:rsidP="053E65AD" w:rsidRDefault="007519A7" w14:paraId="72A3D3EC" w14:textId="750910BC" w14:noSpellErr="1">
            <w:p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Esta línea centra </w:t>
            </w:r>
            <w:r w:rsidRPr="053E65AD" w:rsidR="008F3B78">
              <w:rPr>
                <w:rFonts w:ascii="Times New Roman" w:hAnsi="Times New Roman" w:eastAsia="Times New Roman" w:cs="Times New Roman"/>
                <w:sz w:val="24"/>
                <w:szCs w:val="24"/>
              </w:rPr>
              <w:t xml:space="preserve">su objeto </w:t>
            </w:r>
            <w:r w:rsidRPr="053E65AD" w:rsidR="007519A7">
              <w:rPr>
                <w:rFonts w:ascii="Times New Roman" w:hAnsi="Times New Roman" w:eastAsia="Times New Roman" w:cs="Times New Roman"/>
                <w:sz w:val="24"/>
                <w:szCs w:val="24"/>
              </w:rPr>
              <w:t>en el análisis crítico de la construcción y resignificación de las representaciones sociales y las subjetividades en contextos marcados por múltiples formas de poder. En este marco se interrogan los procesos de subjetivación—entendidos como la configuración de identidades y discursos que se articulan en el terreno político y social—en tanto son atravesados por las dinámicas de</w:t>
            </w:r>
            <w:r w:rsidRPr="053E65AD" w:rsidR="008F3B78">
              <w:rPr>
                <w:rFonts w:ascii="Times New Roman" w:hAnsi="Times New Roman" w:eastAsia="Times New Roman" w:cs="Times New Roman"/>
                <w:sz w:val="24"/>
                <w:szCs w:val="24"/>
              </w:rPr>
              <w:t xml:space="preserve"> </w:t>
            </w:r>
            <w:r w:rsidRPr="053E65AD" w:rsidR="007519A7">
              <w:rPr>
                <w:rFonts w:ascii="Times New Roman" w:hAnsi="Times New Roman" w:eastAsia="Times New Roman" w:cs="Times New Roman"/>
                <w:sz w:val="24"/>
                <w:szCs w:val="24"/>
              </w:rPr>
              <w:t>l</w:t>
            </w:r>
            <w:r w:rsidRPr="053E65AD" w:rsidR="008F3B78">
              <w:rPr>
                <w:rFonts w:ascii="Times New Roman" w:hAnsi="Times New Roman" w:eastAsia="Times New Roman" w:cs="Times New Roman"/>
                <w:sz w:val="24"/>
                <w:szCs w:val="24"/>
              </w:rPr>
              <w:t>os</w:t>
            </w:r>
            <w:r w:rsidRPr="053E65AD" w:rsidR="007519A7">
              <w:rPr>
                <w:rFonts w:ascii="Times New Roman" w:hAnsi="Times New Roman" w:eastAsia="Times New Roman" w:cs="Times New Roman"/>
                <w:sz w:val="24"/>
                <w:szCs w:val="24"/>
              </w:rPr>
              <w:t xml:space="preserve"> feminismo</w:t>
            </w:r>
            <w:r w:rsidRPr="053E65AD" w:rsidR="008F3B78">
              <w:rPr>
                <w:rFonts w:ascii="Times New Roman" w:hAnsi="Times New Roman" w:eastAsia="Times New Roman" w:cs="Times New Roman"/>
                <w:sz w:val="24"/>
                <w:szCs w:val="24"/>
              </w:rPr>
              <w:t>s</w:t>
            </w:r>
            <w:r w:rsidRPr="053E65AD" w:rsidR="007519A7">
              <w:rPr>
                <w:rFonts w:ascii="Times New Roman" w:hAnsi="Times New Roman" w:eastAsia="Times New Roman" w:cs="Times New Roman"/>
                <w:sz w:val="24"/>
                <w:szCs w:val="24"/>
              </w:rPr>
              <w:t>, las teorías de género, la interseccionalidad y las prácticas de resistencia. La línea busca, además, identificar cómo dichos procesos permiten la emergencia de sujetos políticos que cuestionan y transforman las lógicas hegemónicas</w:t>
            </w:r>
            <w:r w:rsidRPr="053E65AD" w:rsidR="008F3B78">
              <w:rPr>
                <w:rFonts w:ascii="Times New Roman" w:hAnsi="Times New Roman" w:eastAsia="Times New Roman" w:cs="Times New Roman"/>
                <w:sz w:val="24"/>
                <w:szCs w:val="24"/>
              </w:rPr>
              <w:t>.</w:t>
            </w:r>
          </w:p>
          <w:p w:rsidR="008F3B78" w:rsidP="053E65AD" w:rsidRDefault="008F3B78" w14:paraId="68E8DD80" w14:textId="77777777" w14:noSpellErr="1">
            <w:pPr>
              <w:rPr>
                <w:rFonts w:ascii="Times New Roman" w:hAnsi="Times New Roman" w:eastAsia="Times New Roman" w:cs="Times New Roman"/>
                <w:sz w:val="24"/>
                <w:szCs w:val="24"/>
              </w:rPr>
            </w:pPr>
          </w:p>
          <w:p w:rsidR="007519A7" w:rsidP="053E65AD" w:rsidRDefault="008F3B78" w14:paraId="63C9E827" w14:textId="4A6B608E">
            <w:pPr>
              <w:rPr>
                <w:rFonts w:ascii="Times New Roman" w:hAnsi="Times New Roman" w:eastAsia="Times New Roman" w:cs="Times New Roman"/>
                <w:sz w:val="24"/>
                <w:szCs w:val="24"/>
              </w:rPr>
            </w:pPr>
            <w:r w:rsidRPr="053E65AD" w:rsidR="008F3B78">
              <w:rPr>
                <w:rFonts w:ascii="Times New Roman" w:hAnsi="Times New Roman" w:eastAsia="Times New Roman" w:cs="Times New Roman"/>
                <w:sz w:val="24"/>
                <w:szCs w:val="24"/>
              </w:rPr>
              <w:t xml:space="preserve">Por ello a esta línea le inquietan </w:t>
            </w:r>
            <w:r w:rsidRPr="053E65AD" w:rsidR="007519A7">
              <w:rPr>
                <w:rFonts w:ascii="Times New Roman" w:hAnsi="Times New Roman" w:eastAsia="Times New Roman" w:cs="Times New Roman"/>
                <w:sz w:val="24"/>
                <w:szCs w:val="24"/>
              </w:rPr>
              <w:t>las formas en que se construyen, negocian y resignifican las representaciones sociales y las subjetividades</w:t>
            </w:r>
            <w:r w:rsidRPr="053E65AD" w:rsidR="008F3B78">
              <w:rPr>
                <w:rFonts w:ascii="Times New Roman" w:hAnsi="Times New Roman" w:eastAsia="Times New Roman" w:cs="Times New Roman"/>
                <w:sz w:val="24"/>
                <w:szCs w:val="24"/>
              </w:rPr>
              <w:t xml:space="preserve">, prestando particular atención a las maneras como </w:t>
            </w:r>
            <w:r w:rsidRPr="053E65AD" w:rsidR="007519A7">
              <w:rPr>
                <w:rFonts w:ascii="Times New Roman" w:hAnsi="Times New Roman" w:eastAsia="Times New Roman" w:cs="Times New Roman"/>
                <w:sz w:val="24"/>
                <w:szCs w:val="24"/>
              </w:rPr>
              <w:t xml:space="preserve">los discursos y prácticas sociales configuran la identidad y la experiencia de grupos históricamente </w:t>
            </w:r>
            <w:r w:rsidRPr="053E65AD" w:rsidR="007519A7">
              <w:rPr>
                <w:rFonts w:ascii="Times New Roman" w:hAnsi="Times New Roman" w:eastAsia="Times New Roman" w:cs="Times New Roman"/>
                <w:sz w:val="24"/>
                <w:szCs w:val="24"/>
              </w:rPr>
              <w:t>subalternizados</w:t>
            </w:r>
            <w:r w:rsidRPr="053E65AD" w:rsidR="007519A7">
              <w:rPr>
                <w:rFonts w:ascii="Times New Roman" w:hAnsi="Times New Roman" w:eastAsia="Times New Roman" w:cs="Times New Roman"/>
                <w:sz w:val="24"/>
                <w:szCs w:val="24"/>
              </w:rPr>
              <w:t>, poniendo especial énfasis en las aportaciones de los feminismos, las teorías de género y los análisis interseccionales, identificando los vínculos con las políticas públicas</w:t>
            </w:r>
            <w:r w:rsidRPr="053E65AD" w:rsidR="008F3B78">
              <w:rPr>
                <w:rFonts w:ascii="Times New Roman" w:hAnsi="Times New Roman" w:eastAsia="Times New Roman" w:cs="Times New Roman"/>
                <w:sz w:val="24"/>
                <w:szCs w:val="24"/>
              </w:rPr>
              <w:t>,</w:t>
            </w:r>
            <w:r w:rsidRPr="053E65AD" w:rsidR="007519A7">
              <w:rPr>
                <w:rFonts w:ascii="Times New Roman" w:hAnsi="Times New Roman" w:eastAsia="Times New Roman" w:cs="Times New Roman"/>
                <w:sz w:val="24"/>
                <w:szCs w:val="24"/>
              </w:rPr>
              <w:t xml:space="preserve"> las prácticas educativas </w:t>
            </w:r>
            <w:r w:rsidRPr="053E65AD" w:rsidR="008F3B78">
              <w:rPr>
                <w:rFonts w:ascii="Times New Roman" w:hAnsi="Times New Roman" w:eastAsia="Times New Roman" w:cs="Times New Roman"/>
                <w:sz w:val="24"/>
                <w:szCs w:val="24"/>
              </w:rPr>
              <w:t>y la</w:t>
            </w:r>
            <w:r w:rsidRPr="053E65AD" w:rsidR="007519A7">
              <w:rPr>
                <w:rFonts w:ascii="Times New Roman" w:hAnsi="Times New Roman" w:eastAsia="Times New Roman" w:cs="Times New Roman"/>
                <w:sz w:val="24"/>
                <w:szCs w:val="24"/>
              </w:rPr>
              <w:t xml:space="preserve"> defensa de los derechos humanos.</w:t>
            </w:r>
          </w:p>
          <w:p w:rsidR="007519A7" w:rsidP="053E65AD" w:rsidRDefault="007519A7" w14:paraId="55C136DA" w14:textId="77777777" w14:noSpellErr="1">
            <w:pPr>
              <w:rPr>
                <w:rFonts w:ascii="Times New Roman" w:hAnsi="Times New Roman" w:eastAsia="Times New Roman" w:cs="Times New Roman"/>
                <w:sz w:val="24"/>
                <w:szCs w:val="24"/>
              </w:rPr>
            </w:pPr>
          </w:p>
          <w:p w:rsidRPr="007519A7" w:rsidR="007519A7" w:rsidP="053E65AD" w:rsidRDefault="007519A7" w14:paraId="7EEFAD0F" w14:textId="77777777" w14:noSpellErr="1">
            <w:pPr>
              <w:rPr>
                <w:rFonts w:ascii="Times New Roman" w:hAnsi="Times New Roman" w:eastAsia="Times New Roman" w:cs="Times New Roman"/>
                <w:sz w:val="24"/>
                <w:szCs w:val="24"/>
                <w:lang w:val="es-ES"/>
              </w:rPr>
            </w:pPr>
          </w:p>
          <w:p w:rsidR="00643777" w:rsidP="053E65AD" w:rsidRDefault="00643777" w14:paraId="24383B21" w14:textId="77777777" w14:noSpellErr="1">
            <w:pPr>
              <w:rPr>
                <w:rFonts w:ascii="Times New Roman" w:hAnsi="Times New Roman" w:eastAsia="Times New Roman" w:cs="Times New Roman"/>
                <w:b w:val="1"/>
                <w:bCs w:val="1"/>
                <w:sz w:val="24"/>
                <w:szCs w:val="24"/>
                <w:lang w:val="es-ES"/>
              </w:rPr>
            </w:pPr>
            <w:r w:rsidRPr="053E65AD" w:rsidR="00643777">
              <w:rPr>
                <w:rFonts w:ascii="Times New Roman" w:hAnsi="Times New Roman" w:eastAsia="Times New Roman" w:cs="Times New Roman"/>
                <w:b w:val="1"/>
                <w:bCs w:val="1"/>
                <w:sz w:val="24"/>
                <w:szCs w:val="24"/>
                <w:lang w:val="es-ES"/>
              </w:rPr>
              <w:t>Estado de la cuestión:</w:t>
            </w:r>
          </w:p>
          <w:p w:rsidR="006D48FF" w:rsidP="053E65AD" w:rsidRDefault="006D48FF" w14:paraId="0D0B940D" w14:textId="77777777" w14:noSpellErr="1">
            <w:pPr>
              <w:rPr>
                <w:rFonts w:ascii="Times New Roman" w:hAnsi="Times New Roman" w:eastAsia="Times New Roman" w:cs="Times New Roman"/>
                <w:b w:val="1"/>
                <w:bCs w:val="1"/>
                <w:sz w:val="24"/>
                <w:szCs w:val="24"/>
                <w:lang w:val="es-ES"/>
              </w:rPr>
            </w:pPr>
          </w:p>
          <w:p w:rsidRPr="008F3B78" w:rsidR="007519A7" w:rsidP="053E65AD" w:rsidRDefault="007519A7" w14:paraId="10B36052" w14:textId="77777777" w14:noSpellErr="1">
            <w:pPr>
              <w:pStyle w:val="Ttulo4"/>
              <w:rPr>
                <w:rFonts w:ascii="Times New Roman" w:hAnsi="Times New Roman" w:eastAsia="Times New Roman" w:cs="Times New Roman"/>
                <w:b w:val="1"/>
                <w:bCs w:val="1"/>
                <w:color w:val="000000" w:themeColor="text1"/>
                <w:kern w:val="0"/>
                <w:sz w:val="24"/>
                <w:szCs w:val="24"/>
                <w:lang w:eastAsia="es-MX" w:bidi="ar-SA"/>
              </w:rPr>
            </w:pPr>
            <w:r w:rsidRPr="053E65AD" w:rsidR="007519A7">
              <w:rPr>
                <w:rFonts w:ascii="Times New Roman" w:hAnsi="Times New Roman" w:eastAsia="Times New Roman" w:cs="Times New Roman"/>
                <w:b w:val="1"/>
                <w:bCs w:val="1"/>
                <w:color w:val="000000" w:themeColor="text1" w:themeTint="FF" w:themeShade="FF"/>
                <w:sz w:val="24"/>
                <w:szCs w:val="24"/>
              </w:rPr>
              <w:t>Representaciones Sociales</w:t>
            </w:r>
          </w:p>
          <w:p w:rsidR="007519A7" w:rsidP="053E65AD" w:rsidRDefault="007519A7" w14:paraId="7DE462E9" w14:textId="47D5034F" w14:noSpellErr="1">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Las representaciones sociales han sido estudiadas desde Moscovici (1976) hasta enfoques contemporáneos que consideran la influencia de los medios digitales y la globalización (Jodelet, 2018; Taylor, 2021). Investigaciones recientes han evidenciado la transformación de los discursos tradicionales y la emergencia de narrativas pluralizadas en entornos educativos y comunitarios (Giménez, 2022).</w:t>
            </w:r>
          </w:p>
          <w:p w:rsidR="007519A7" w:rsidP="053E65AD" w:rsidRDefault="007519A7" w14:paraId="4C82D792" w14:textId="0ED8B145" w14:noSpellErr="1">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Diversos estudios han abordado las representaciones sociales como herramientas para comprender la configuración de discursos y prácticas que legitiman o cuestionan órdenes </w:t>
            </w:r>
            <w:r w:rsidRPr="053E65AD" w:rsidR="007519A7">
              <w:rPr>
                <w:rFonts w:ascii="Times New Roman" w:hAnsi="Times New Roman" w:eastAsia="Times New Roman" w:cs="Times New Roman"/>
                <w:sz w:val="24"/>
                <w:szCs w:val="24"/>
              </w:rPr>
              <w:t>sociales establecidos</w:t>
            </w:r>
            <w:r w:rsidRPr="053E65AD" w:rsidR="00FD5CE6">
              <w:rPr>
                <w:rFonts w:ascii="Times New Roman" w:hAnsi="Times New Roman" w:eastAsia="Times New Roman" w:cs="Times New Roman"/>
                <w:sz w:val="24"/>
                <w:szCs w:val="24"/>
              </w:rPr>
              <w:t xml:space="preserve">, develando con ello </w:t>
            </w:r>
            <w:r w:rsidRPr="053E65AD" w:rsidR="007519A7">
              <w:rPr>
                <w:rFonts w:ascii="Times New Roman" w:hAnsi="Times New Roman" w:eastAsia="Times New Roman" w:cs="Times New Roman"/>
                <w:sz w:val="24"/>
                <w:szCs w:val="24"/>
              </w:rPr>
              <w:t>las narrativas mediáticas y culturales</w:t>
            </w:r>
            <w:r w:rsidRPr="053E65AD" w:rsidR="00FD5CE6">
              <w:rPr>
                <w:rFonts w:ascii="Times New Roman" w:hAnsi="Times New Roman" w:eastAsia="Times New Roman" w:cs="Times New Roman"/>
                <w:sz w:val="24"/>
                <w:szCs w:val="24"/>
              </w:rPr>
              <w:t xml:space="preserve"> y el rol que</w:t>
            </w:r>
            <w:r w:rsidRPr="053E65AD" w:rsidR="007519A7">
              <w:rPr>
                <w:rFonts w:ascii="Times New Roman" w:hAnsi="Times New Roman" w:eastAsia="Times New Roman" w:cs="Times New Roman"/>
                <w:sz w:val="24"/>
                <w:szCs w:val="24"/>
              </w:rPr>
              <w:t xml:space="preserve"> juegan en la construcción de la identidad y en la reproducción de desigualdades.</w:t>
            </w:r>
          </w:p>
          <w:p w:rsidR="053E65AD" w:rsidP="053E65AD" w:rsidRDefault="053E65AD" w14:paraId="404C8485" w14:textId="5BBEECED">
            <w:pPr>
              <w:pStyle w:val="NormalWeb"/>
              <w:rPr>
                <w:rFonts w:ascii="Times New Roman" w:hAnsi="Times New Roman" w:eastAsia="Times New Roman" w:cs="Times New Roman"/>
                <w:sz w:val="24"/>
                <w:szCs w:val="24"/>
              </w:rPr>
            </w:pPr>
          </w:p>
          <w:p w:rsidRPr="00FD5CE6" w:rsidR="007519A7" w:rsidP="053E65AD" w:rsidRDefault="007519A7" w14:paraId="5294D534" w14:textId="77777777" w14:noSpellErr="1">
            <w:pPr>
              <w:pStyle w:val="Ttulo4"/>
              <w:rPr>
                <w:rFonts w:ascii="Times New Roman" w:hAnsi="Times New Roman" w:eastAsia="Times New Roman" w:cs="Times New Roman"/>
                <w:b w:val="1"/>
                <w:bCs w:val="1"/>
                <w:color w:val="000000" w:themeColor="text1"/>
                <w:sz w:val="24"/>
                <w:szCs w:val="24"/>
              </w:rPr>
            </w:pPr>
            <w:r w:rsidRPr="053E65AD" w:rsidR="007519A7">
              <w:rPr>
                <w:rFonts w:ascii="Times New Roman" w:hAnsi="Times New Roman" w:eastAsia="Times New Roman" w:cs="Times New Roman"/>
                <w:b w:val="1"/>
                <w:bCs w:val="1"/>
                <w:color w:val="000000" w:themeColor="text1" w:themeTint="FF" w:themeShade="FF"/>
                <w:sz w:val="24"/>
                <w:szCs w:val="24"/>
              </w:rPr>
              <w:t>Construcción de Subjetividades</w:t>
            </w:r>
          </w:p>
          <w:p w:rsidR="007519A7" w:rsidP="053E65AD" w:rsidRDefault="007519A7" w14:paraId="32C40B93" w14:textId="17CABE44">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En la tradición </w:t>
            </w:r>
            <w:r w:rsidRPr="053E65AD" w:rsidR="007519A7">
              <w:rPr>
                <w:rFonts w:ascii="Times New Roman" w:hAnsi="Times New Roman" w:eastAsia="Times New Roman" w:cs="Times New Roman"/>
                <w:sz w:val="24"/>
                <w:szCs w:val="24"/>
              </w:rPr>
              <w:t>foucaultiana</w:t>
            </w:r>
            <w:r w:rsidRPr="053E65AD" w:rsidR="007519A7">
              <w:rPr>
                <w:rFonts w:ascii="Times New Roman" w:hAnsi="Times New Roman" w:eastAsia="Times New Roman" w:cs="Times New Roman"/>
                <w:sz w:val="24"/>
                <w:szCs w:val="24"/>
              </w:rPr>
              <w:t xml:space="preserve"> (1982), la subjetividad se configura en la intersección de saberes y prácticas de poder. Autores como Butler (1990) y, más recientemente, </w:t>
            </w:r>
            <w:r w:rsidRPr="053E65AD" w:rsidR="007519A7">
              <w:rPr>
                <w:rFonts w:ascii="Times New Roman" w:hAnsi="Times New Roman" w:eastAsia="Times New Roman" w:cs="Times New Roman"/>
                <w:sz w:val="24"/>
                <w:szCs w:val="24"/>
              </w:rPr>
              <w:t>Mbembe</w:t>
            </w:r>
            <w:r w:rsidRPr="053E65AD" w:rsidR="007519A7">
              <w:rPr>
                <w:rFonts w:ascii="Times New Roman" w:hAnsi="Times New Roman" w:eastAsia="Times New Roman" w:cs="Times New Roman"/>
                <w:sz w:val="24"/>
                <w:szCs w:val="24"/>
              </w:rPr>
              <w:t xml:space="preserve"> (2020), han ampliado este campo al explorar la performatividad de la identidad y las resistencias a la normatividad establecida. Investigaciones actuales destacan la importancia de la educación en la formación de subjetividades críticas en entornos de diversidad cultural (Sánchez, 2023)</w:t>
            </w:r>
            <w:r w:rsidRPr="053E65AD" w:rsidR="001A6E12">
              <w:rPr>
                <w:rFonts w:ascii="Times New Roman" w:hAnsi="Times New Roman" w:eastAsia="Times New Roman" w:cs="Times New Roman"/>
                <w:sz w:val="24"/>
                <w:szCs w:val="24"/>
              </w:rPr>
              <w:t>, enfatizando en</w:t>
            </w:r>
            <w:r w:rsidRPr="053E65AD" w:rsidR="007519A7">
              <w:rPr>
                <w:rFonts w:ascii="Times New Roman" w:hAnsi="Times New Roman" w:eastAsia="Times New Roman" w:cs="Times New Roman"/>
                <w:sz w:val="24"/>
                <w:szCs w:val="24"/>
              </w:rPr>
              <w:t xml:space="preserve"> la performatividad y la emergencia de nuevos sujetos en escenarios de resistencia</w:t>
            </w:r>
            <w:r w:rsidRPr="053E65AD" w:rsidR="001A6E12">
              <w:rPr>
                <w:rFonts w:ascii="Times New Roman" w:hAnsi="Times New Roman" w:eastAsia="Times New Roman" w:cs="Times New Roman"/>
                <w:sz w:val="24"/>
                <w:szCs w:val="24"/>
              </w:rPr>
              <w:t xml:space="preserve"> y resaltando </w:t>
            </w:r>
            <w:r w:rsidRPr="053E65AD" w:rsidR="007519A7">
              <w:rPr>
                <w:rFonts w:ascii="Times New Roman" w:hAnsi="Times New Roman" w:eastAsia="Times New Roman" w:cs="Times New Roman"/>
                <w:sz w:val="24"/>
                <w:szCs w:val="24"/>
              </w:rPr>
              <w:t>la importancia de la educación y la praxis política en la formación de subjetividades críticas</w:t>
            </w:r>
            <w:r w:rsidRPr="053E65AD" w:rsidR="001A6E12">
              <w:rPr>
                <w:rFonts w:ascii="Times New Roman" w:hAnsi="Times New Roman" w:eastAsia="Times New Roman" w:cs="Times New Roman"/>
                <w:sz w:val="24"/>
                <w:szCs w:val="24"/>
              </w:rPr>
              <w:t>.</w:t>
            </w:r>
          </w:p>
          <w:p w:rsidR="053E65AD" w:rsidP="053E65AD" w:rsidRDefault="053E65AD" w14:paraId="7E31920D" w14:textId="7D8A73AD">
            <w:pPr>
              <w:pStyle w:val="NormalWeb"/>
              <w:rPr>
                <w:rFonts w:ascii="Times New Roman" w:hAnsi="Times New Roman" w:eastAsia="Times New Roman" w:cs="Times New Roman"/>
                <w:sz w:val="24"/>
                <w:szCs w:val="24"/>
              </w:rPr>
            </w:pPr>
          </w:p>
          <w:p w:rsidRPr="001A6E12" w:rsidR="007519A7" w:rsidP="053E65AD" w:rsidRDefault="007519A7" w14:paraId="25FCDE85" w14:textId="77777777" w14:noSpellErr="1">
            <w:pPr>
              <w:pStyle w:val="Ttulo4"/>
              <w:rPr>
                <w:rFonts w:ascii="Times New Roman" w:hAnsi="Times New Roman" w:eastAsia="Times New Roman" w:cs="Times New Roman"/>
                <w:b w:val="1"/>
                <w:bCs w:val="1"/>
                <w:color w:val="000000" w:themeColor="text1"/>
                <w:sz w:val="24"/>
                <w:szCs w:val="24"/>
              </w:rPr>
            </w:pPr>
            <w:r w:rsidRPr="053E65AD" w:rsidR="007519A7">
              <w:rPr>
                <w:rFonts w:ascii="Times New Roman" w:hAnsi="Times New Roman" w:eastAsia="Times New Roman" w:cs="Times New Roman"/>
                <w:b w:val="1"/>
                <w:bCs w:val="1"/>
                <w:color w:val="000000" w:themeColor="text1" w:themeTint="FF" w:themeShade="FF"/>
                <w:sz w:val="24"/>
                <w:szCs w:val="24"/>
              </w:rPr>
              <w:t>Feminismos</w:t>
            </w:r>
          </w:p>
          <w:p w:rsidR="007519A7" w:rsidP="053E65AD" w:rsidRDefault="001A6E12" w14:paraId="41746056" w14:textId="4A03C06D">
            <w:pPr>
              <w:pStyle w:val="NormalWeb"/>
              <w:rPr>
                <w:rFonts w:ascii="Times New Roman" w:hAnsi="Times New Roman" w:eastAsia="Times New Roman" w:cs="Times New Roman"/>
                <w:sz w:val="24"/>
                <w:szCs w:val="24"/>
              </w:rPr>
            </w:pPr>
            <w:r w:rsidRPr="053E65AD" w:rsidR="001A6E12">
              <w:rPr>
                <w:rFonts w:ascii="Times New Roman" w:hAnsi="Times New Roman" w:eastAsia="Times New Roman" w:cs="Times New Roman"/>
                <w:sz w:val="24"/>
                <w:szCs w:val="24"/>
              </w:rPr>
              <w:t>El movimiento feminista</w:t>
            </w:r>
            <w:r w:rsidRPr="053E65AD" w:rsidR="001A6E12">
              <w:rPr>
                <w:rFonts w:ascii="Times New Roman" w:hAnsi="Times New Roman" w:eastAsia="Times New Roman" w:cs="Times New Roman"/>
                <w:sz w:val="24"/>
                <w:szCs w:val="24"/>
              </w:rPr>
              <w:t xml:space="preserve"> </w:t>
            </w:r>
            <w:r w:rsidRPr="053E65AD" w:rsidR="007519A7">
              <w:rPr>
                <w:rFonts w:ascii="Times New Roman" w:hAnsi="Times New Roman" w:eastAsia="Times New Roman" w:cs="Times New Roman"/>
                <w:sz w:val="24"/>
                <w:szCs w:val="24"/>
              </w:rPr>
              <w:t>se ha diversificado en múltiples corrientes. Mientras que las primeras abordaron la emancipación y la equidad (</w:t>
            </w:r>
            <w:r w:rsidRPr="053E65AD" w:rsidR="007519A7">
              <w:rPr>
                <w:rFonts w:ascii="Times New Roman" w:hAnsi="Times New Roman" w:eastAsia="Times New Roman" w:cs="Times New Roman"/>
                <w:sz w:val="24"/>
                <w:szCs w:val="24"/>
              </w:rPr>
              <w:t>hooks</w:t>
            </w:r>
            <w:r w:rsidRPr="053E65AD" w:rsidR="007519A7">
              <w:rPr>
                <w:rFonts w:ascii="Times New Roman" w:hAnsi="Times New Roman" w:eastAsia="Times New Roman" w:cs="Times New Roman"/>
                <w:sz w:val="24"/>
                <w:szCs w:val="24"/>
              </w:rPr>
              <w:t>, 1984), las investigaciones contemporáneas enfatizan las intersecciones de raza, clase y sexualidad (</w:t>
            </w:r>
            <w:r w:rsidRPr="053E65AD" w:rsidR="007519A7">
              <w:rPr>
                <w:rFonts w:ascii="Times New Roman" w:hAnsi="Times New Roman" w:eastAsia="Times New Roman" w:cs="Times New Roman"/>
                <w:sz w:val="24"/>
                <w:szCs w:val="24"/>
              </w:rPr>
              <w:t>Crenshaw</w:t>
            </w:r>
            <w:r w:rsidRPr="053E65AD" w:rsidR="007519A7">
              <w:rPr>
                <w:rFonts w:ascii="Times New Roman" w:hAnsi="Times New Roman" w:eastAsia="Times New Roman" w:cs="Times New Roman"/>
                <w:sz w:val="24"/>
                <w:szCs w:val="24"/>
              </w:rPr>
              <w:t>, 1991; Lugones, 2015)</w:t>
            </w:r>
            <w:r w:rsidRPr="053E65AD" w:rsidR="001A6E12">
              <w:rPr>
                <w:rFonts w:ascii="Times New Roman" w:hAnsi="Times New Roman" w:eastAsia="Times New Roman" w:cs="Times New Roman"/>
                <w:sz w:val="24"/>
                <w:szCs w:val="24"/>
              </w:rPr>
              <w:t xml:space="preserve">, observándose un </w:t>
            </w:r>
            <w:r w:rsidRPr="053E65AD" w:rsidR="007519A7">
              <w:rPr>
                <w:rFonts w:ascii="Times New Roman" w:hAnsi="Times New Roman" w:eastAsia="Times New Roman" w:cs="Times New Roman"/>
                <w:sz w:val="24"/>
                <w:szCs w:val="24"/>
              </w:rPr>
              <w:t>creciente interés en la pedagogía feminista y sus implicancias en la transformación social (Gutiérrez, 2021).</w:t>
            </w:r>
          </w:p>
          <w:p w:rsidR="007519A7" w:rsidP="053E65AD" w:rsidRDefault="001A6E12" w14:paraId="70F15F2B" w14:textId="5AD03625" w14:noSpellErr="1">
            <w:pPr>
              <w:pStyle w:val="NormalWeb"/>
              <w:rPr>
                <w:rFonts w:ascii="Times New Roman" w:hAnsi="Times New Roman" w:eastAsia="Times New Roman" w:cs="Times New Roman"/>
                <w:sz w:val="24"/>
                <w:szCs w:val="24"/>
              </w:rPr>
            </w:pPr>
            <w:r w:rsidRPr="053E65AD" w:rsidR="001A6E12">
              <w:rPr>
                <w:rFonts w:ascii="Times New Roman" w:hAnsi="Times New Roman" w:eastAsia="Times New Roman" w:cs="Times New Roman"/>
                <w:sz w:val="24"/>
                <w:szCs w:val="24"/>
              </w:rPr>
              <w:t xml:space="preserve">La </w:t>
            </w:r>
            <w:r w:rsidRPr="053E65AD" w:rsidR="007519A7">
              <w:rPr>
                <w:rFonts w:ascii="Times New Roman" w:hAnsi="Times New Roman" w:eastAsia="Times New Roman" w:cs="Times New Roman"/>
                <w:sz w:val="24"/>
                <w:szCs w:val="24"/>
              </w:rPr>
              <w:t>evolución histórica</w:t>
            </w:r>
            <w:r w:rsidRPr="053E65AD" w:rsidR="001A6E12">
              <w:rPr>
                <w:rFonts w:ascii="Times New Roman" w:hAnsi="Times New Roman" w:eastAsia="Times New Roman" w:cs="Times New Roman"/>
                <w:sz w:val="24"/>
                <w:szCs w:val="24"/>
              </w:rPr>
              <w:t xml:space="preserve"> de los movimientos feministas</w:t>
            </w:r>
            <w:r w:rsidRPr="053E65AD" w:rsidR="007519A7">
              <w:rPr>
                <w:rFonts w:ascii="Times New Roman" w:hAnsi="Times New Roman" w:eastAsia="Times New Roman" w:cs="Times New Roman"/>
                <w:sz w:val="24"/>
                <w:szCs w:val="24"/>
              </w:rPr>
              <w:t xml:space="preserve"> ha transitado </w:t>
            </w:r>
            <w:r w:rsidRPr="053E65AD" w:rsidR="001A6E12">
              <w:rPr>
                <w:rFonts w:ascii="Times New Roman" w:hAnsi="Times New Roman" w:eastAsia="Times New Roman" w:cs="Times New Roman"/>
                <w:sz w:val="24"/>
                <w:szCs w:val="24"/>
              </w:rPr>
              <w:t xml:space="preserve">así </w:t>
            </w:r>
            <w:r w:rsidRPr="053E65AD" w:rsidR="007519A7">
              <w:rPr>
                <w:rFonts w:ascii="Times New Roman" w:hAnsi="Times New Roman" w:eastAsia="Times New Roman" w:cs="Times New Roman"/>
                <w:sz w:val="24"/>
                <w:szCs w:val="24"/>
              </w:rPr>
              <w:t>de una postura de lucha por la igualdad a propuestas que incorporan la diversidad y la pluralidad de las experiencias</w:t>
            </w:r>
            <w:r w:rsidRPr="053E65AD" w:rsidR="001A6E12">
              <w:rPr>
                <w:rFonts w:ascii="Times New Roman" w:hAnsi="Times New Roman" w:eastAsia="Times New Roman" w:cs="Times New Roman"/>
                <w:sz w:val="24"/>
                <w:szCs w:val="24"/>
              </w:rPr>
              <w:t xml:space="preserve">, incorporando a ellos </w:t>
            </w:r>
            <w:r w:rsidRPr="053E65AD" w:rsidR="007519A7">
              <w:rPr>
                <w:rFonts w:ascii="Times New Roman" w:hAnsi="Times New Roman" w:eastAsia="Times New Roman" w:cs="Times New Roman"/>
                <w:sz w:val="24"/>
                <w:szCs w:val="24"/>
              </w:rPr>
              <w:t>la necesidad de repensar las identidades enmarcadas en relaciones de opresión, resaltando la centralidad de la experiencia corporal y la praxis emancipadora</w:t>
            </w:r>
            <w:r w:rsidRPr="053E65AD" w:rsidR="001A6E12">
              <w:rPr>
                <w:rFonts w:ascii="Times New Roman" w:hAnsi="Times New Roman" w:eastAsia="Times New Roman" w:cs="Times New Roman"/>
                <w:sz w:val="24"/>
                <w:szCs w:val="24"/>
              </w:rPr>
              <w:t>.</w:t>
            </w:r>
          </w:p>
          <w:p w:rsidR="053E65AD" w:rsidP="053E65AD" w:rsidRDefault="053E65AD" w14:paraId="702746D2" w14:textId="233849F7">
            <w:pPr>
              <w:pStyle w:val="NormalWeb"/>
              <w:rPr>
                <w:rFonts w:ascii="Times New Roman" w:hAnsi="Times New Roman" w:eastAsia="Times New Roman" w:cs="Times New Roman"/>
                <w:sz w:val="24"/>
                <w:szCs w:val="24"/>
              </w:rPr>
            </w:pPr>
          </w:p>
          <w:p w:rsidRPr="001A6E12" w:rsidR="007519A7" w:rsidP="053E65AD" w:rsidRDefault="007519A7" w14:paraId="76DCE011" w14:textId="77777777" w14:noSpellErr="1">
            <w:pPr>
              <w:pStyle w:val="Ttulo4"/>
              <w:rPr>
                <w:rFonts w:ascii="Times New Roman" w:hAnsi="Times New Roman" w:eastAsia="Times New Roman" w:cs="Times New Roman"/>
                <w:b w:val="1"/>
                <w:bCs w:val="1"/>
                <w:color w:val="000000" w:themeColor="text1"/>
                <w:sz w:val="24"/>
                <w:szCs w:val="24"/>
              </w:rPr>
            </w:pPr>
            <w:r w:rsidRPr="053E65AD" w:rsidR="007519A7">
              <w:rPr>
                <w:rFonts w:ascii="Times New Roman" w:hAnsi="Times New Roman" w:eastAsia="Times New Roman" w:cs="Times New Roman"/>
                <w:b w:val="1"/>
                <w:bCs w:val="1"/>
                <w:color w:val="000000" w:themeColor="text1" w:themeTint="FF" w:themeShade="FF"/>
                <w:sz w:val="24"/>
                <w:szCs w:val="24"/>
              </w:rPr>
              <w:t>Género</w:t>
            </w:r>
          </w:p>
          <w:p w:rsidR="007519A7" w:rsidP="053E65AD" w:rsidRDefault="007519A7" w14:paraId="128CD827" w14:textId="2BDC28C5" w14:noSpellErr="1">
            <w:pPr>
              <w:pStyle w:val="NormalWeb"/>
              <w:rPr>
                <w:rFonts w:ascii="Times New Roman" w:hAnsi="Times New Roman" w:eastAsia="Times New Roman" w:cs="Times New Roman"/>
                <w:sz w:val="24"/>
                <w:szCs w:val="24"/>
                <w:lang w:eastAsia="es-MX"/>
              </w:rPr>
            </w:pPr>
            <w:r w:rsidRPr="053E65AD" w:rsidR="007519A7">
              <w:rPr>
                <w:rFonts w:ascii="Times New Roman" w:hAnsi="Times New Roman" w:eastAsia="Times New Roman" w:cs="Times New Roman"/>
                <w:sz w:val="24"/>
                <w:szCs w:val="24"/>
              </w:rPr>
              <w:t xml:space="preserve">La teoría de género ha evolucionado desde enfoques esencialistas hacia perspectivas constructivistas (Butler, 1990; Scott, 1999). Investigaciones recientes analizan cómo las instituciones educativas y las políticas públicas pueden reproducir o desafiar los estereotipos de género (Martínez, 2022; Pérez, 2023), resaltando la necesidad de políticas </w:t>
            </w:r>
            <w:r w:rsidRPr="053E65AD" w:rsidR="001A6E12">
              <w:rPr>
                <w:rFonts w:ascii="Times New Roman" w:hAnsi="Times New Roman" w:eastAsia="Times New Roman" w:cs="Times New Roman"/>
                <w:sz w:val="24"/>
                <w:szCs w:val="24"/>
              </w:rPr>
              <w:t xml:space="preserve">educativas más </w:t>
            </w:r>
            <w:r w:rsidRPr="053E65AD" w:rsidR="007519A7">
              <w:rPr>
                <w:rFonts w:ascii="Times New Roman" w:hAnsi="Times New Roman" w:eastAsia="Times New Roman" w:cs="Times New Roman"/>
                <w:sz w:val="24"/>
                <w:szCs w:val="24"/>
              </w:rPr>
              <w:t>inclusivas</w:t>
            </w:r>
            <w:r w:rsidRPr="053E65AD" w:rsidR="001A6E12">
              <w:rPr>
                <w:rFonts w:ascii="Times New Roman" w:hAnsi="Times New Roman" w:eastAsia="Times New Roman" w:cs="Times New Roman"/>
                <w:sz w:val="24"/>
                <w:szCs w:val="24"/>
              </w:rPr>
              <w:t xml:space="preserve">. </w:t>
            </w:r>
            <w:r w:rsidRPr="053E65AD" w:rsidR="007519A7">
              <w:rPr>
                <w:rFonts w:ascii="Times New Roman" w:hAnsi="Times New Roman" w:eastAsia="Times New Roman" w:cs="Times New Roman"/>
                <w:sz w:val="24"/>
                <w:szCs w:val="24"/>
              </w:rPr>
              <w:t>Estudios recientes evidencian cómo las instituciones, incluyendo el ámbito educativo, reproducen o transforman los estereotipos de género, impulsando debates en torno a la identidad, la corporalidad y la performatividad</w:t>
            </w:r>
            <w:r w:rsidRPr="053E65AD" w:rsidR="001A6E12">
              <w:rPr>
                <w:rFonts w:ascii="Times New Roman" w:hAnsi="Times New Roman" w:eastAsia="Times New Roman" w:cs="Times New Roman"/>
                <w:sz w:val="24"/>
                <w:szCs w:val="24"/>
              </w:rPr>
              <w:t>.</w:t>
            </w:r>
          </w:p>
          <w:p w:rsidR="053E65AD" w:rsidP="053E65AD" w:rsidRDefault="053E65AD" w14:paraId="55F800E8" w14:textId="23825553">
            <w:pPr>
              <w:pStyle w:val="NormalWeb"/>
              <w:rPr>
                <w:rFonts w:ascii="Times New Roman" w:hAnsi="Times New Roman" w:eastAsia="Times New Roman" w:cs="Times New Roman"/>
                <w:sz w:val="24"/>
                <w:szCs w:val="24"/>
              </w:rPr>
            </w:pPr>
          </w:p>
          <w:p w:rsidRPr="001A6E12" w:rsidR="007519A7" w:rsidP="053E65AD" w:rsidRDefault="007519A7" w14:paraId="404CF9E7" w14:textId="77777777" w14:noSpellErr="1">
            <w:pPr>
              <w:pStyle w:val="Ttulo4"/>
              <w:rPr>
                <w:rFonts w:ascii="Times New Roman" w:hAnsi="Times New Roman" w:eastAsia="Times New Roman" w:cs="Times New Roman"/>
                <w:b w:val="1"/>
                <w:bCs w:val="1"/>
                <w:color w:val="000000" w:themeColor="text1"/>
                <w:sz w:val="24"/>
                <w:szCs w:val="24"/>
              </w:rPr>
            </w:pPr>
            <w:r w:rsidRPr="053E65AD" w:rsidR="007519A7">
              <w:rPr>
                <w:rFonts w:ascii="Times New Roman" w:hAnsi="Times New Roman" w:eastAsia="Times New Roman" w:cs="Times New Roman"/>
                <w:b w:val="1"/>
                <w:bCs w:val="1"/>
                <w:color w:val="000000" w:themeColor="text1" w:themeTint="FF" w:themeShade="FF"/>
                <w:sz w:val="24"/>
                <w:szCs w:val="24"/>
              </w:rPr>
              <w:t>Interseccionalidad</w:t>
            </w:r>
          </w:p>
          <w:p w:rsidR="007519A7" w:rsidP="053E65AD" w:rsidRDefault="007519A7" w14:paraId="426BF369" w14:textId="60EB37D5">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Introducida por </w:t>
            </w:r>
            <w:r w:rsidRPr="053E65AD" w:rsidR="007519A7">
              <w:rPr>
                <w:rFonts w:ascii="Times New Roman" w:hAnsi="Times New Roman" w:eastAsia="Times New Roman" w:cs="Times New Roman"/>
                <w:sz w:val="24"/>
                <w:szCs w:val="24"/>
              </w:rPr>
              <w:t>Crenshaw</w:t>
            </w:r>
            <w:r w:rsidRPr="053E65AD" w:rsidR="007519A7">
              <w:rPr>
                <w:rFonts w:ascii="Times New Roman" w:hAnsi="Times New Roman" w:eastAsia="Times New Roman" w:cs="Times New Roman"/>
                <w:sz w:val="24"/>
                <w:szCs w:val="24"/>
              </w:rPr>
              <w:t xml:space="preserve"> (1991), la interseccionalidad ha sido aplicada para comprender la complejidad de las identidades y las desigualdades. Autores actuales como Collins (2019) y Hancock (2020) han profundizado en la articulación de múltiples ejes de opresión y poder. La literatura reciente enfatiza su utilidad para el diseño de estrategias pedagógicas que reconozcan la diversidad y la desigualdad (Ramírez, 2022).</w:t>
            </w:r>
          </w:p>
          <w:p w:rsidR="007519A7" w:rsidP="053E65AD" w:rsidRDefault="001A6E12" w14:paraId="641BF36C" w14:textId="33F74093">
            <w:pPr>
              <w:pStyle w:val="NormalWeb"/>
              <w:rPr>
                <w:rFonts w:ascii="Times New Roman" w:hAnsi="Times New Roman" w:eastAsia="Times New Roman" w:cs="Times New Roman"/>
                <w:sz w:val="24"/>
                <w:szCs w:val="24"/>
              </w:rPr>
            </w:pPr>
            <w:r w:rsidRPr="053E65AD" w:rsidR="001A6E12">
              <w:rPr>
                <w:rFonts w:ascii="Times New Roman" w:hAnsi="Times New Roman" w:eastAsia="Times New Roman" w:cs="Times New Roman"/>
                <w:sz w:val="24"/>
                <w:szCs w:val="24"/>
              </w:rPr>
              <w:t>Si bien fue i</w:t>
            </w:r>
            <w:r w:rsidRPr="053E65AD" w:rsidR="007519A7">
              <w:rPr>
                <w:rFonts w:ascii="Times New Roman" w:hAnsi="Times New Roman" w:eastAsia="Times New Roman" w:cs="Times New Roman"/>
                <w:sz w:val="24"/>
                <w:szCs w:val="24"/>
              </w:rPr>
              <w:t xml:space="preserve">ntroducida para visibilizar las múltiples y simultáneas formas de opresión, la interseccionalidad se configura </w:t>
            </w:r>
            <w:r w:rsidRPr="053E65AD" w:rsidR="001A6E12">
              <w:rPr>
                <w:rFonts w:ascii="Times New Roman" w:hAnsi="Times New Roman" w:eastAsia="Times New Roman" w:cs="Times New Roman"/>
                <w:sz w:val="24"/>
                <w:szCs w:val="24"/>
              </w:rPr>
              <w:t xml:space="preserve">hoy </w:t>
            </w:r>
            <w:r w:rsidRPr="053E65AD" w:rsidR="007519A7">
              <w:rPr>
                <w:rFonts w:ascii="Times New Roman" w:hAnsi="Times New Roman" w:eastAsia="Times New Roman" w:cs="Times New Roman"/>
                <w:sz w:val="24"/>
                <w:szCs w:val="24"/>
              </w:rPr>
              <w:t xml:space="preserve">como un marco analítico indispensable para comprender la articulación entre raza, clase, género, edad y </w:t>
            </w:r>
            <w:r w:rsidRPr="053E65AD" w:rsidR="47786026">
              <w:rPr>
                <w:rFonts w:ascii="Times New Roman" w:hAnsi="Times New Roman" w:eastAsia="Times New Roman" w:cs="Times New Roman"/>
                <w:sz w:val="24"/>
                <w:szCs w:val="24"/>
              </w:rPr>
              <w:t>otros marcadores</w:t>
            </w:r>
            <w:r w:rsidRPr="053E65AD" w:rsidR="007519A7">
              <w:rPr>
                <w:rFonts w:ascii="Times New Roman" w:hAnsi="Times New Roman" w:eastAsia="Times New Roman" w:cs="Times New Roman"/>
                <w:sz w:val="24"/>
                <w:szCs w:val="24"/>
              </w:rPr>
              <w:t xml:space="preserve"> de diferencia</w:t>
            </w:r>
            <w:r w:rsidRPr="053E65AD" w:rsidR="001A6E12">
              <w:rPr>
                <w:rFonts w:ascii="Times New Roman" w:hAnsi="Times New Roman" w:eastAsia="Times New Roman" w:cs="Times New Roman"/>
                <w:sz w:val="24"/>
                <w:szCs w:val="24"/>
              </w:rPr>
              <w:t xml:space="preserve">, destacando su </w:t>
            </w:r>
            <w:r w:rsidRPr="053E65AD" w:rsidR="007519A7">
              <w:rPr>
                <w:rFonts w:ascii="Times New Roman" w:hAnsi="Times New Roman" w:eastAsia="Times New Roman" w:cs="Times New Roman"/>
                <w:sz w:val="24"/>
                <w:szCs w:val="24"/>
              </w:rPr>
              <w:t>potencial para diseñar estrategias pedagógicas inclusivas y políticas públicas que reconozcan la diversidad</w:t>
            </w:r>
            <w:r w:rsidRPr="053E65AD" w:rsidR="001A6E12">
              <w:rPr>
                <w:rFonts w:ascii="Times New Roman" w:hAnsi="Times New Roman" w:eastAsia="Times New Roman" w:cs="Times New Roman"/>
                <w:sz w:val="24"/>
                <w:szCs w:val="24"/>
              </w:rPr>
              <w:t>.</w:t>
            </w:r>
          </w:p>
          <w:p w:rsidR="053E65AD" w:rsidP="053E65AD" w:rsidRDefault="053E65AD" w14:paraId="5C2A4356" w14:textId="54AE857C">
            <w:pPr>
              <w:pStyle w:val="NormalWeb"/>
              <w:rPr>
                <w:rFonts w:ascii="Times New Roman" w:hAnsi="Times New Roman" w:eastAsia="Times New Roman" w:cs="Times New Roman"/>
                <w:sz w:val="24"/>
                <w:szCs w:val="24"/>
              </w:rPr>
            </w:pPr>
          </w:p>
          <w:p w:rsidRPr="001A6E12" w:rsidR="007519A7" w:rsidP="053E65AD" w:rsidRDefault="007519A7" w14:paraId="1F5674A4" w14:textId="77777777" w14:noSpellErr="1">
            <w:pPr>
              <w:pStyle w:val="Ttulo4"/>
              <w:rPr>
                <w:rFonts w:ascii="Times New Roman" w:hAnsi="Times New Roman" w:eastAsia="Times New Roman" w:cs="Times New Roman"/>
                <w:b w:val="1"/>
                <w:bCs w:val="1"/>
                <w:color w:val="000000" w:themeColor="text1"/>
                <w:sz w:val="24"/>
                <w:szCs w:val="24"/>
              </w:rPr>
            </w:pPr>
            <w:r w:rsidRPr="053E65AD" w:rsidR="007519A7">
              <w:rPr>
                <w:rFonts w:ascii="Times New Roman" w:hAnsi="Times New Roman" w:eastAsia="Times New Roman" w:cs="Times New Roman"/>
                <w:b w:val="1"/>
                <w:bCs w:val="1"/>
                <w:color w:val="000000" w:themeColor="text1" w:themeTint="FF" w:themeShade="FF"/>
                <w:sz w:val="24"/>
                <w:szCs w:val="24"/>
              </w:rPr>
              <w:t>Resistencias</w:t>
            </w:r>
          </w:p>
          <w:p w:rsidR="007519A7" w:rsidP="053E65AD" w:rsidRDefault="007519A7" w14:paraId="6B102EF4" w14:textId="111DFE9E" w14:noSpellErr="1">
            <w:pPr>
              <w:pStyle w:val="NormalWeb"/>
              <w:rPr>
                <w:rFonts w:ascii="Times New Roman" w:hAnsi="Times New Roman" w:eastAsia="Times New Roman" w:cs="Times New Roman"/>
                <w:sz w:val="24"/>
                <w:szCs w:val="24"/>
                <w:lang w:eastAsia="es-MX"/>
              </w:rPr>
            </w:pPr>
            <w:r w:rsidRPr="053E65AD" w:rsidR="007519A7">
              <w:rPr>
                <w:rFonts w:ascii="Times New Roman" w:hAnsi="Times New Roman" w:eastAsia="Times New Roman" w:cs="Times New Roman"/>
                <w:sz w:val="24"/>
                <w:szCs w:val="24"/>
              </w:rPr>
              <w:t>El análisis de las resistencias se ha fundamentado en la comprensión de las prácticas subversivas y las estrategias de reconfiguración del poder (Scott, 1985; Foucault, 1982)</w:t>
            </w:r>
            <w:r w:rsidRPr="053E65AD" w:rsidR="001A6E12">
              <w:rPr>
                <w:rFonts w:ascii="Times New Roman" w:hAnsi="Times New Roman" w:eastAsia="Times New Roman" w:cs="Times New Roman"/>
                <w:sz w:val="24"/>
                <w:szCs w:val="24"/>
              </w:rPr>
              <w:t xml:space="preserve">, pero esta mirada ha dado paso a entender hoy cómo las </w:t>
            </w:r>
            <w:r w:rsidRPr="053E65AD" w:rsidR="007519A7">
              <w:rPr>
                <w:rFonts w:ascii="Times New Roman" w:hAnsi="Times New Roman" w:eastAsia="Times New Roman" w:cs="Times New Roman"/>
                <w:sz w:val="24"/>
                <w:szCs w:val="24"/>
              </w:rPr>
              <w:t>movilizaciones sociales y los discursos de resistencia en el ámbito educativo generan</w:t>
            </w:r>
            <w:r w:rsidRPr="053E65AD" w:rsidR="001A6E12">
              <w:rPr>
                <w:rFonts w:ascii="Times New Roman" w:hAnsi="Times New Roman" w:eastAsia="Times New Roman" w:cs="Times New Roman"/>
                <w:sz w:val="24"/>
                <w:szCs w:val="24"/>
              </w:rPr>
              <w:t>do</w:t>
            </w:r>
            <w:r w:rsidRPr="053E65AD" w:rsidR="007519A7">
              <w:rPr>
                <w:rFonts w:ascii="Times New Roman" w:hAnsi="Times New Roman" w:eastAsia="Times New Roman" w:cs="Times New Roman"/>
                <w:sz w:val="24"/>
                <w:szCs w:val="24"/>
              </w:rPr>
              <w:t xml:space="preserve"> espacios de transformación </w:t>
            </w:r>
            <w:r w:rsidRPr="053E65AD" w:rsidR="001A6E12">
              <w:rPr>
                <w:rFonts w:ascii="Times New Roman" w:hAnsi="Times New Roman" w:eastAsia="Times New Roman" w:cs="Times New Roman"/>
                <w:sz w:val="24"/>
                <w:szCs w:val="24"/>
              </w:rPr>
              <w:t xml:space="preserve">o sosteniendo ambientes reproductores de desigualdades y violencias </w:t>
            </w:r>
            <w:r w:rsidRPr="053E65AD" w:rsidR="007519A7">
              <w:rPr>
                <w:rFonts w:ascii="Times New Roman" w:hAnsi="Times New Roman" w:eastAsia="Times New Roman" w:cs="Times New Roman"/>
                <w:sz w:val="24"/>
                <w:szCs w:val="24"/>
              </w:rPr>
              <w:t>(Vargas, 2021; López, 2023).</w:t>
            </w:r>
          </w:p>
          <w:p w:rsidR="007519A7" w:rsidP="053E65AD" w:rsidRDefault="007519A7" w14:paraId="52C57B76" w14:textId="291B6DDB" w14:noSpellErr="1">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El análisis de las resistencias se ha enfocado en la capacidad de los sujetos para cuestionar y subvertir las estructuras de poder</w:t>
            </w:r>
            <w:r w:rsidRPr="053E65AD" w:rsidR="001A6E12">
              <w:rPr>
                <w:rFonts w:ascii="Times New Roman" w:hAnsi="Times New Roman" w:eastAsia="Times New Roman" w:cs="Times New Roman"/>
                <w:sz w:val="24"/>
                <w:szCs w:val="24"/>
              </w:rPr>
              <w:t xml:space="preserve">, por lo que a esta línea le interesa estudiar desde </w:t>
            </w:r>
            <w:r w:rsidRPr="053E65AD" w:rsidR="007519A7">
              <w:rPr>
                <w:rFonts w:ascii="Times New Roman" w:hAnsi="Times New Roman" w:eastAsia="Times New Roman" w:cs="Times New Roman"/>
                <w:sz w:val="24"/>
                <w:szCs w:val="24"/>
              </w:rPr>
              <w:t>las prácticas cotidianas hasta los movimientos sociales organizados,</w:t>
            </w:r>
            <w:r w:rsidRPr="053E65AD" w:rsidR="001A6E12">
              <w:rPr>
                <w:rFonts w:ascii="Times New Roman" w:hAnsi="Times New Roman" w:eastAsia="Times New Roman" w:cs="Times New Roman"/>
                <w:sz w:val="24"/>
                <w:szCs w:val="24"/>
              </w:rPr>
              <w:t xml:space="preserve"> entendiendo</w:t>
            </w:r>
            <w:r w:rsidRPr="053E65AD" w:rsidR="007519A7">
              <w:rPr>
                <w:rFonts w:ascii="Times New Roman" w:hAnsi="Times New Roman" w:eastAsia="Times New Roman" w:cs="Times New Roman"/>
                <w:sz w:val="24"/>
                <w:szCs w:val="24"/>
              </w:rPr>
              <w:t xml:space="preserve"> la resistencia como un componente central en la transformación de las subjetividades y en la reconfiguración de lo público.</w:t>
            </w:r>
          </w:p>
          <w:p w:rsidRPr="007519A7" w:rsidR="00852C3D" w:rsidP="053E65AD" w:rsidRDefault="00852C3D" w14:paraId="4B94D5A5" w14:textId="77777777" w14:noSpellErr="1">
            <w:pPr>
              <w:rPr>
                <w:rFonts w:ascii="Times New Roman" w:hAnsi="Times New Roman" w:eastAsia="Times New Roman" w:cs="Times New Roman"/>
                <w:sz w:val="24"/>
                <w:szCs w:val="24"/>
              </w:rPr>
            </w:pPr>
          </w:p>
          <w:p w:rsidRPr="00232F68" w:rsidR="00852C3D" w:rsidP="053E65AD" w:rsidRDefault="00852C3D" w14:paraId="48E83B98" w14:textId="77777777" w14:noSpellErr="1">
            <w:pPr>
              <w:rPr>
                <w:rFonts w:ascii="Times New Roman" w:hAnsi="Times New Roman" w:eastAsia="Times New Roman" w:cs="Times New Roman"/>
                <w:b w:val="1"/>
                <w:bCs w:val="1"/>
                <w:sz w:val="24"/>
                <w:szCs w:val="24"/>
                <w:lang w:val="es-ES"/>
              </w:rPr>
            </w:pPr>
            <w:r w:rsidRPr="053E65AD" w:rsidR="00852C3D">
              <w:rPr>
                <w:rFonts w:ascii="Times New Roman" w:hAnsi="Times New Roman" w:eastAsia="Times New Roman" w:cs="Times New Roman"/>
                <w:b w:val="1"/>
                <w:bCs w:val="1"/>
                <w:sz w:val="24"/>
                <w:szCs w:val="24"/>
                <w:lang w:val="es-ES"/>
              </w:rPr>
              <w:t>Referentes teóricos:</w:t>
            </w:r>
          </w:p>
          <w:p w:rsidRPr="00852C3D" w:rsidR="00852C3D" w:rsidP="053E65AD" w:rsidRDefault="00852C3D" w14:paraId="3DEEC669" w14:textId="77777777" w14:noSpellErr="1">
            <w:pPr>
              <w:rPr>
                <w:rFonts w:ascii="Times New Roman" w:hAnsi="Times New Roman" w:eastAsia="Times New Roman" w:cs="Times New Roman"/>
                <w:sz w:val="24"/>
                <w:szCs w:val="24"/>
                <w:lang w:val="es-ES"/>
              </w:rPr>
            </w:pPr>
          </w:p>
          <w:p w:rsidRPr="007519A7" w:rsidR="007519A7" w:rsidP="053E65AD" w:rsidRDefault="007519A7" w14:paraId="68739981" w14:textId="77777777" w14:noSpellErr="1">
            <w:p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Para robustecer el marco conceptual de esta línea se propone articular referentes clásicos y emergentes:</w:t>
            </w:r>
          </w:p>
          <w:p w:rsidRPr="007519A7" w:rsidR="007519A7" w:rsidP="053E65AD" w:rsidRDefault="007519A7" w14:paraId="35D4D623" w14:textId="77777777" w14:noSpellErr="1">
            <w:pPr>
              <w:numPr>
                <w:ilvl w:val="0"/>
                <w:numId w:val="10"/>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Representaciones Sociales y Subjetividades:</w:t>
            </w:r>
          </w:p>
          <w:p w:rsidRPr="007519A7" w:rsidR="007519A7" w:rsidP="053E65AD" w:rsidRDefault="007519A7" w14:paraId="4127C240" w14:textId="77777777" w14:noSpellErr="1">
            <w:pPr>
              <w:numPr>
                <w:ilvl w:val="1"/>
                <w:numId w:val="11"/>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Michel Foucault: Para entender las relaciones de poder y la producción de subjetividades.</w:t>
            </w:r>
          </w:p>
          <w:p w:rsidRPr="007519A7" w:rsidR="007519A7" w:rsidP="053E65AD" w:rsidRDefault="007519A7" w14:paraId="2D53DA4E" w14:textId="77777777" w14:noSpellErr="1">
            <w:pPr>
              <w:numPr>
                <w:ilvl w:val="1"/>
                <w:numId w:val="11"/>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Stuart Hall: Que ofrece herramientas para analizar la construcción de identidades en contextos de globalización.</w:t>
            </w:r>
          </w:p>
          <w:p w:rsidRPr="007519A7" w:rsidR="007519A7" w:rsidP="053E65AD" w:rsidRDefault="007519A7" w14:paraId="04EAC000" w14:textId="77777777" w14:noSpellErr="1">
            <w:pPr>
              <w:numPr>
                <w:ilvl w:val="1"/>
                <w:numId w:val="11"/>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Nancy Fraser: Para abordar la relación entre justicia social y reconocimiento.</w:t>
            </w:r>
          </w:p>
          <w:p w:rsidRPr="007519A7" w:rsidR="007519A7" w:rsidP="053E65AD" w:rsidRDefault="007519A7" w14:paraId="3CD4756D" w14:textId="77777777" w14:noSpellErr="1">
            <w:pPr>
              <w:numPr>
                <w:ilvl w:val="0"/>
                <w:numId w:val="10"/>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Feminismos y Género:</w:t>
            </w:r>
          </w:p>
          <w:p w:rsidRPr="007519A7" w:rsidR="007519A7" w:rsidP="053E65AD" w:rsidRDefault="007519A7" w14:paraId="3DA99DA1" w14:textId="77777777" w14:noSpellErr="1">
            <w:pPr>
              <w:numPr>
                <w:ilvl w:val="1"/>
                <w:numId w:val="12"/>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Judith Butler: Su teoría de la performatividad del género resulta fundamental para cuestionar las normatividades impuestas.</w:t>
            </w:r>
          </w:p>
          <w:p w:rsidRPr="007519A7" w:rsidR="007519A7" w:rsidP="053E65AD" w:rsidRDefault="007519A7" w14:paraId="2F110AD2" w14:textId="77777777">
            <w:pPr>
              <w:numPr>
                <w:ilvl w:val="1"/>
                <w:numId w:val="12"/>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Donna </w:t>
            </w:r>
            <w:r w:rsidRPr="053E65AD" w:rsidR="007519A7">
              <w:rPr>
                <w:rFonts w:ascii="Times New Roman" w:hAnsi="Times New Roman" w:eastAsia="Times New Roman" w:cs="Times New Roman"/>
                <w:sz w:val="24"/>
                <w:szCs w:val="24"/>
              </w:rPr>
              <w:t>Haraway</w:t>
            </w:r>
            <w:r w:rsidRPr="053E65AD" w:rsidR="007519A7">
              <w:rPr>
                <w:rFonts w:ascii="Times New Roman" w:hAnsi="Times New Roman" w:eastAsia="Times New Roman" w:cs="Times New Roman"/>
                <w:sz w:val="24"/>
                <w:szCs w:val="24"/>
              </w:rPr>
              <w:t>: Con sus aportes sobre el “</w:t>
            </w:r>
            <w:r w:rsidRPr="053E65AD" w:rsidR="007519A7">
              <w:rPr>
                <w:rFonts w:ascii="Times New Roman" w:hAnsi="Times New Roman" w:eastAsia="Times New Roman" w:cs="Times New Roman"/>
                <w:sz w:val="24"/>
                <w:szCs w:val="24"/>
              </w:rPr>
              <w:t>cyborg</w:t>
            </w:r>
            <w:r w:rsidRPr="053E65AD" w:rsidR="007519A7">
              <w:rPr>
                <w:rFonts w:ascii="Times New Roman" w:hAnsi="Times New Roman" w:eastAsia="Times New Roman" w:cs="Times New Roman"/>
                <w:sz w:val="24"/>
                <w:szCs w:val="24"/>
              </w:rPr>
              <w:t>” y las fronteras entre lo humano y lo tecnológico, que amplían el espectro de análisis.</w:t>
            </w:r>
          </w:p>
          <w:p w:rsidRPr="007519A7" w:rsidR="007519A7" w:rsidP="053E65AD" w:rsidRDefault="007519A7" w14:paraId="3BD8F241" w14:textId="77777777">
            <w:pPr>
              <w:numPr>
                <w:ilvl w:val="1"/>
                <w:numId w:val="12"/>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Monique </w:t>
            </w:r>
            <w:r w:rsidRPr="053E65AD" w:rsidR="007519A7">
              <w:rPr>
                <w:rFonts w:ascii="Times New Roman" w:hAnsi="Times New Roman" w:eastAsia="Times New Roman" w:cs="Times New Roman"/>
                <w:sz w:val="24"/>
                <w:szCs w:val="24"/>
              </w:rPr>
              <w:t>Wittig</w:t>
            </w:r>
            <w:r w:rsidRPr="053E65AD" w:rsidR="007519A7">
              <w:rPr>
                <w:rFonts w:ascii="Times New Roman" w:hAnsi="Times New Roman" w:eastAsia="Times New Roman" w:cs="Times New Roman"/>
                <w:sz w:val="24"/>
                <w:szCs w:val="24"/>
              </w:rPr>
              <w:t>: Para entender la heterosexualidad como sistema político estructurante.</w:t>
            </w:r>
          </w:p>
          <w:p w:rsidRPr="007519A7" w:rsidR="007519A7" w:rsidP="053E65AD" w:rsidRDefault="007519A7" w14:paraId="0CD28AE6" w14:textId="77777777" w14:noSpellErr="1">
            <w:pPr>
              <w:numPr>
                <w:ilvl w:val="0"/>
                <w:numId w:val="10"/>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Interseccionalidad:</w:t>
            </w:r>
          </w:p>
          <w:p w:rsidRPr="007519A7" w:rsidR="007519A7" w:rsidP="053E65AD" w:rsidRDefault="007519A7" w14:paraId="04274085" w14:textId="77777777">
            <w:pPr>
              <w:numPr>
                <w:ilvl w:val="1"/>
                <w:numId w:val="13"/>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Kimberlé</w:t>
            </w:r>
            <w:r w:rsidRPr="053E65AD" w:rsidR="007519A7">
              <w:rPr>
                <w:rFonts w:ascii="Times New Roman" w:hAnsi="Times New Roman" w:eastAsia="Times New Roman" w:cs="Times New Roman"/>
                <w:sz w:val="24"/>
                <w:szCs w:val="24"/>
              </w:rPr>
              <w:t xml:space="preserve"> </w:t>
            </w:r>
            <w:r w:rsidRPr="053E65AD" w:rsidR="007519A7">
              <w:rPr>
                <w:rFonts w:ascii="Times New Roman" w:hAnsi="Times New Roman" w:eastAsia="Times New Roman" w:cs="Times New Roman"/>
                <w:sz w:val="24"/>
                <w:szCs w:val="24"/>
              </w:rPr>
              <w:t>Crenshaw</w:t>
            </w:r>
            <w:r w:rsidRPr="053E65AD" w:rsidR="007519A7">
              <w:rPr>
                <w:rFonts w:ascii="Times New Roman" w:hAnsi="Times New Roman" w:eastAsia="Times New Roman" w:cs="Times New Roman"/>
                <w:sz w:val="24"/>
                <w:szCs w:val="24"/>
              </w:rPr>
              <w:t>: Su propuesta es esencial para analizar la articulación de múltiples ejes de opresión.</w:t>
            </w:r>
          </w:p>
          <w:p w:rsidRPr="001C084D" w:rsidR="007519A7" w:rsidP="053E65AD" w:rsidRDefault="007519A7" w14:paraId="70E2F32C" w14:textId="77777777" w14:noSpellErr="1">
            <w:pPr>
              <w:numPr>
                <w:ilvl w:val="1"/>
                <w:numId w:val="13"/>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Patricia Hill Collins: Que permite profundizar en las dimensiones interseccionales de la opresión.</w:t>
            </w:r>
          </w:p>
          <w:p w:rsidRPr="007519A7" w:rsidR="007519A7" w:rsidP="053E65AD" w:rsidRDefault="007519A7" w14:paraId="786E08C5" w14:textId="1C7506E6">
            <w:pPr>
              <w:numPr>
                <w:ilvl w:val="1"/>
                <w:numId w:val="13"/>
              </w:numPr>
              <w:rPr>
                <w:rFonts w:ascii="Times New Roman" w:hAnsi="Times New Roman" w:eastAsia="Times New Roman" w:cs="Times New Roman"/>
                <w:sz w:val="24"/>
                <w:szCs w:val="24"/>
              </w:rPr>
            </w:pPr>
            <w:r w:rsidRPr="053E65AD" w:rsidR="007519A7">
              <w:rPr>
                <w:rStyle w:val="Textoennegrita"/>
                <w:rFonts w:ascii="Times New Roman" w:hAnsi="Times New Roman" w:eastAsia="Times New Roman" w:cs="Times New Roman"/>
                <w:b w:val="0"/>
                <w:bCs w:val="0"/>
                <w:sz w:val="24"/>
                <w:szCs w:val="24"/>
              </w:rPr>
              <w:t>Sirma</w:t>
            </w:r>
            <w:r w:rsidRPr="053E65AD" w:rsidR="007519A7">
              <w:rPr>
                <w:rStyle w:val="Textoennegrita"/>
                <w:rFonts w:ascii="Times New Roman" w:hAnsi="Times New Roman" w:eastAsia="Times New Roman" w:cs="Times New Roman"/>
                <w:b w:val="0"/>
                <w:bCs w:val="0"/>
                <w:sz w:val="24"/>
                <w:szCs w:val="24"/>
              </w:rPr>
              <w:t xml:space="preserve"> </w:t>
            </w:r>
            <w:r w:rsidRPr="053E65AD" w:rsidR="007519A7">
              <w:rPr>
                <w:rStyle w:val="Textoennegrita"/>
                <w:rFonts w:ascii="Times New Roman" w:hAnsi="Times New Roman" w:eastAsia="Times New Roman" w:cs="Times New Roman"/>
                <w:b w:val="0"/>
                <w:bCs w:val="0"/>
                <w:sz w:val="24"/>
                <w:szCs w:val="24"/>
              </w:rPr>
              <w:t>Bilge</w:t>
            </w:r>
            <w:r w:rsidRPr="053E65AD" w:rsidR="007519A7">
              <w:rPr>
                <w:rStyle w:val="Textoennegrita"/>
                <w:rFonts w:ascii="Times New Roman" w:hAnsi="Times New Roman" w:eastAsia="Times New Roman" w:cs="Times New Roman"/>
                <w:b w:val="0"/>
                <w:bCs w:val="0"/>
                <w:sz w:val="24"/>
                <w:szCs w:val="24"/>
              </w:rPr>
              <w:t xml:space="preserve"> (2010):</w:t>
            </w:r>
            <w:r w:rsidRPr="053E65AD" w:rsidR="007519A7">
              <w:rPr>
                <w:rFonts w:ascii="Times New Roman" w:hAnsi="Times New Roman" w:eastAsia="Times New Roman" w:cs="Times New Roman"/>
                <w:sz w:val="24"/>
                <w:szCs w:val="24"/>
              </w:rPr>
              <w:t xml:space="preserve"> En cuanto a la articulación de la interseccionalidad con la crítica poscolonial y las nuevas tecnologías de la comunicación.</w:t>
            </w:r>
          </w:p>
          <w:p w:rsidRPr="007519A7" w:rsidR="007519A7" w:rsidP="053E65AD" w:rsidRDefault="007519A7" w14:paraId="4D97DC6A" w14:textId="77777777" w14:noSpellErr="1">
            <w:pPr>
              <w:numPr>
                <w:ilvl w:val="0"/>
                <w:numId w:val="10"/>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Resistencias:</w:t>
            </w:r>
          </w:p>
          <w:p w:rsidRPr="007519A7" w:rsidR="007519A7" w:rsidP="053E65AD" w:rsidRDefault="007519A7" w14:paraId="55EFAAE5" w14:textId="77777777" w14:noSpellErr="1">
            <w:pPr>
              <w:numPr>
                <w:ilvl w:val="1"/>
                <w:numId w:val="14"/>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Michel de Certeau: Para la comprensión de las prácticas cotidianas de resistencia.</w:t>
            </w:r>
          </w:p>
          <w:p w:rsidRPr="007519A7" w:rsidR="007519A7" w:rsidP="053E65AD" w:rsidRDefault="007519A7" w14:paraId="667BEB9B" w14:textId="77777777">
            <w:pPr>
              <w:numPr>
                <w:ilvl w:val="1"/>
                <w:numId w:val="14"/>
              </w:numPr>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Chantal </w:t>
            </w:r>
            <w:r w:rsidRPr="053E65AD" w:rsidR="007519A7">
              <w:rPr>
                <w:rFonts w:ascii="Times New Roman" w:hAnsi="Times New Roman" w:eastAsia="Times New Roman" w:cs="Times New Roman"/>
                <w:sz w:val="24"/>
                <w:szCs w:val="24"/>
              </w:rPr>
              <w:t>Mouffe</w:t>
            </w:r>
            <w:r w:rsidRPr="053E65AD" w:rsidR="007519A7">
              <w:rPr>
                <w:rFonts w:ascii="Times New Roman" w:hAnsi="Times New Roman" w:eastAsia="Times New Roman" w:cs="Times New Roman"/>
                <w:sz w:val="24"/>
                <w:szCs w:val="24"/>
              </w:rPr>
              <w:t>: Con su teoría de la agonística, que invita a repensar el conflicto como motor de transformación.</w:t>
            </w:r>
          </w:p>
          <w:p w:rsidRPr="007519A7" w:rsidR="00533189" w:rsidP="053E65AD" w:rsidRDefault="00533189" w14:paraId="6D98A12B" w14:textId="77777777" w14:noSpellErr="1">
            <w:pPr>
              <w:rPr>
                <w:rFonts w:ascii="Times New Roman" w:hAnsi="Times New Roman" w:eastAsia="Times New Roman" w:cs="Times New Roman"/>
                <w:sz w:val="24"/>
                <w:szCs w:val="24"/>
              </w:rPr>
            </w:pPr>
          </w:p>
          <w:p w:rsidRPr="00533189" w:rsidR="00533189" w:rsidP="053E65AD" w:rsidRDefault="00533189" w14:paraId="2946DB82" w14:textId="77777777" w14:noSpellErr="1">
            <w:pPr>
              <w:rPr>
                <w:rFonts w:ascii="Times New Roman" w:hAnsi="Times New Roman" w:eastAsia="Times New Roman" w:cs="Times New Roman"/>
                <w:b w:val="1"/>
                <w:bCs w:val="1"/>
                <w:sz w:val="24"/>
                <w:szCs w:val="24"/>
                <w:lang w:val="es-ES"/>
              </w:rPr>
            </w:pPr>
          </w:p>
          <w:p w:rsidRPr="00533189" w:rsidR="00533189" w:rsidP="053E65AD" w:rsidRDefault="00533189" w14:paraId="55A27861" w14:textId="77777777" w14:noSpellErr="1">
            <w:pPr>
              <w:rPr>
                <w:rFonts w:ascii="Times New Roman" w:hAnsi="Times New Roman" w:eastAsia="Times New Roman" w:cs="Times New Roman"/>
                <w:b w:val="1"/>
                <w:bCs w:val="1"/>
                <w:sz w:val="24"/>
                <w:szCs w:val="24"/>
                <w:lang w:val="es-ES"/>
              </w:rPr>
            </w:pPr>
            <w:r w:rsidRPr="053E65AD" w:rsidR="00533189">
              <w:rPr>
                <w:rFonts w:ascii="Times New Roman" w:hAnsi="Times New Roman" w:eastAsia="Times New Roman" w:cs="Times New Roman"/>
                <w:b w:val="1"/>
                <w:bCs w:val="1"/>
                <w:sz w:val="24"/>
                <w:szCs w:val="24"/>
                <w:lang w:val="es-ES"/>
              </w:rPr>
              <w:t xml:space="preserve">Problemas y desafíos metodológicos de la investigación social en el capitalismo global: </w:t>
            </w:r>
          </w:p>
          <w:p w:rsidRPr="00533189" w:rsidR="00533189" w:rsidP="053E65AD" w:rsidRDefault="00533189" w14:paraId="5997CC1D" w14:textId="77777777" w14:noSpellErr="1">
            <w:pPr>
              <w:rPr>
                <w:rFonts w:ascii="Times New Roman" w:hAnsi="Times New Roman" w:eastAsia="Times New Roman" w:cs="Times New Roman"/>
                <w:sz w:val="24"/>
                <w:szCs w:val="24"/>
                <w:lang w:val="es-ES"/>
              </w:rPr>
            </w:pPr>
          </w:p>
          <w:p w:rsidR="007519A7" w:rsidP="053E65AD" w:rsidRDefault="007519A7" w14:paraId="3A7E2CD6" w14:textId="77777777" w14:noSpellErr="1">
            <w:pPr>
              <w:pStyle w:val="NormalWeb"/>
              <w:rPr>
                <w:rFonts w:ascii="Times New Roman" w:hAnsi="Times New Roman" w:eastAsia="Times New Roman" w:cs="Times New Roman"/>
                <w:sz w:val="24"/>
                <w:szCs w:val="24"/>
                <w:lang w:eastAsia="es-MX"/>
              </w:rPr>
            </w:pPr>
            <w:r w:rsidRPr="053E65AD" w:rsidR="007519A7">
              <w:rPr>
                <w:rFonts w:ascii="Times New Roman" w:hAnsi="Times New Roman" w:eastAsia="Times New Roman" w:cs="Times New Roman"/>
                <w:sz w:val="24"/>
                <w:szCs w:val="24"/>
              </w:rPr>
              <w:t>Desde una perspectiva crítica, los problemas y desafíos metodológicos en la investigación social que aborda las categorías de representaciones sociales, subjetividades, feminismos, género, interseccionalidad y resistencias se presentan en varios niveles.</w:t>
            </w:r>
          </w:p>
          <w:p w:rsidR="053E65AD" w:rsidP="053E65AD" w:rsidRDefault="053E65AD" w14:paraId="65CF9E6E" w14:textId="5700C00A">
            <w:pPr>
              <w:pStyle w:val="NormalWeb"/>
              <w:rPr>
                <w:rFonts w:ascii="Times New Roman" w:hAnsi="Times New Roman" w:eastAsia="Times New Roman" w:cs="Times New Roman"/>
                <w:sz w:val="24"/>
                <w:szCs w:val="24"/>
              </w:rPr>
            </w:pPr>
          </w:p>
          <w:p w:rsidR="007519A7" w:rsidP="053E65AD" w:rsidRDefault="007519A7" w14:paraId="158AD3BA" w14:textId="780E27A6">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En primer lugar, se evidencia la dificultad inherente a capturar y analizar la construcción de representaciones sociales y subjetividades, que son procesos dinámicos y en constante transformación. La tradición </w:t>
            </w:r>
            <w:r w:rsidRPr="053E65AD" w:rsidR="007519A7">
              <w:rPr>
                <w:rFonts w:ascii="Times New Roman" w:hAnsi="Times New Roman" w:eastAsia="Times New Roman" w:cs="Times New Roman"/>
                <w:sz w:val="24"/>
                <w:szCs w:val="24"/>
              </w:rPr>
              <w:t>foucaultiana</w:t>
            </w:r>
            <w:r w:rsidRPr="053E65AD" w:rsidR="007519A7">
              <w:rPr>
                <w:rFonts w:ascii="Times New Roman" w:hAnsi="Times New Roman" w:eastAsia="Times New Roman" w:cs="Times New Roman"/>
                <w:sz w:val="24"/>
                <w:szCs w:val="24"/>
              </w:rPr>
              <w:t xml:space="preserve">, por ejemplo, plantea que el sujeto es producto de prácticas discursivas y relaciones de poder, lo que complica la delimitación de una “objetividad” que permita medir o comparar de manera sistemática estos </w:t>
            </w:r>
            <w:r w:rsidRPr="053E65AD" w:rsidR="068AF975">
              <w:rPr>
                <w:rFonts w:ascii="Times New Roman" w:hAnsi="Times New Roman" w:eastAsia="Times New Roman" w:cs="Times New Roman"/>
                <w:sz w:val="24"/>
                <w:szCs w:val="24"/>
              </w:rPr>
              <w:t>procesos.</w:t>
            </w:r>
            <w:r w:rsidRPr="053E65AD" w:rsidR="007519A7">
              <w:rPr>
                <w:rFonts w:ascii="Times New Roman" w:hAnsi="Times New Roman" w:eastAsia="Times New Roman" w:cs="Times New Roman"/>
                <w:sz w:val="24"/>
                <w:szCs w:val="24"/>
              </w:rPr>
              <w:t xml:space="preserve"> En este sentido, la investigación debe asumir una postura epistemológica que reconozca la naturaleza situada y performativa del conocimiento, lo que a menudo requiere una combinación de métodos cualitativos—como la etnografía y el análisis discursivo—con estrategias que permitan la triangulación y la validación de las interpretaciones.</w:t>
            </w:r>
          </w:p>
          <w:p w:rsidR="053E65AD" w:rsidP="053E65AD" w:rsidRDefault="053E65AD" w14:paraId="40343D64" w14:textId="36A2EE81">
            <w:pPr>
              <w:pStyle w:val="NormalWeb"/>
              <w:rPr>
                <w:rFonts w:ascii="Times New Roman" w:hAnsi="Times New Roman" w:eastAsia="Times New Roman" w:cs="Times New Roman"/>
                <w:sz w:val="24"/>
                <w:szCs w:val="24"/>
              </w:rPr>
            </w:pPr>
          </w:p>
          <w:p w:rsidR="007519A7" w:rsidP="053E65AD" w:rsidRDefault="007519A7" w14:paraId="09E95313" w14:textId="6895981C">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Asimismo, los enfoques feministas </w:t>
            </w:r>
            <w:r w:rsidRPr="053E65AD" w:rsidR="007519A7">
              <w:rPr>
                <w:rFonts w:ascii="Times New Roman" w:hAnsi="Times New Roman" w:eastAsia="Times New Roman" w:cs="Times New Roman"/>
                <w:sz w:val="24"/>
                <w:szCs w:val="24"/>
              </w:rPr>
              <w:t>y</w:t>
            </w:r>
            <w:r w:rsidRPr="053E65AD" w:rsidR="007519A7">
              <w:rPr>
                <w:rFonts w:ascii="Times New Roman" w:hAnsi="Times New Roman" w:eastAsia="Times New Roman" w:cs="Times New Roman"/>
                <w:sz w:val="24"/>
                <w:szCs w:val="24"/>
              </w:rPr>
              <w:t xml:space="preserve"> invitan a repensar la tradicional dicotomía sujeto-objeto. La insistencia en la reflexividad </w:t>
            </w:r>
            <w:r w:rsidRPr="053E65AD" w:rsidR="0022697C">
              <w:rPr>
                <w:rFonts w:ascii="Times New Roman" w:hAnsi="Times New Roman" w:eastAsia="Times New Roman" w:cs="Times New Roman"/>
                <w:sz w:val="24"/>
                <w:szCs w:val="24"/>
              </w:rPr>
              <w:t>quien investiga</w:t>
            </w:r>
            <w:r w:rsidRPr="053E65AD" w:rsidR="007519A7">
              <w:rPr>
                <w:rFonts w:ascii="Times New Roman" w:hAnsi="Times New Roman" w:eastAsia="Times New Roman" w:cs="Times New Roman"/>
                <w:sz w:val="24"/>
                <w:szCs w:val="24"/>
              </w:rPr>
              <w:t xml:space="preserve">, que es parte integral del proceso de investigación feminista, implica enfrentar la tensión entre la emergencia de nuevas subjetividades y la necesidad de mantener rigurosidad metodológica. Autoras como Judith </w:t>
            </w:r>
            <w:r w:rsidRPr="053E65AD" w:rsidR="007519A7">
              <w:rPr>
                <w:rFonts w:ascii="Times New Roman" w:hAnsi="Times New Roman" w:eastAsia="Times New Roman" w:cs="Times New Roman"/>
                <w:sz w:val="24"/>
                <w:szCs w:val="24"/>
              </w:rPr>
              <w:t xml:space="preserve">Butler y Donna </w:t>
            </w:r>
            <w:r w:rsidRPr="053E65AD" w:rsidR="007519A7">
              <w:rPr>
                <w:rFonts w:ascii="Times New Roman" w:hAnsi="Times New Roman" w:eastAsia="Times New Roman" w:cs="Times New Roman"/>
                <w:sz w:val="24"/>
                <w:szCs w:val="24"/>
              </w:rPr>
              <w:t>Haraway</w:t>
            </w:r>
            <w:r w:rsidRPr="053E65AD" w:rsidR="007519A7">
              <w:rPr>
                <w:rFonts w:ascii="Times New Roman" w:hAnsi="Times New Roman" w:eastAsia="Times New Roman" w:cs="Times New Roman"/>
                <w:sz w:val="24"/>
                <w:szCs w:val="24"/>
              </w:rPr>
              <w:t xml:space="preserve"> han cuestionado la neutralidad del sujeto investigador, proponiendo metodologías que reconozcan su propio posicionamiento político y social, lo que abre debates sobre la posibilidad de un “conocimiento situado” sin caer en relativismos extremos.</w:t>
            </w:r>
          </w:p>
          <w:p w:rsidR="007519A7" w:rsidP="053E65AD" w:rsidRDefault="007519A7" w14:paraId="5724C4D6" w14:textId="06105963">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Por otro lado, la incorporación de la interseccionalidad añade una capa compleja al análisis metodológico</w:t>
            </w:r>
            <w:r w:rsidRPr="053E65AD" w:rsidR="0022697C">
              <w:rPr>
                <w:rFonts w:ascii="Times New Roman" w:hAnsi="Times New Roman" w:eastAsia="Times New Roman" w:cs="Times New Roman"/>
                <w:sz w:val="24"/>
                <w:szCs w:val="24"/>
              </w:rPr>
              <w:t xml:space="preserve">, pues esta </w:t>
            </w:r>
            <w:r w:rsidRPr="053E65AD" w:rsidR="007519A7">
              <w:rPr>
                <w:rFonts w:ascii="Times New Roman" w:hAnsi="Times New Roman" w:eastAsia="Times New Roman" w:cs="Times New Roman"/>
                <w:sz w:val="24"/>
                <w:szCs w:val="24"/>
              </w:rPr>
              <w:t xml:space="preserve">demanda la consideración simultánea de múltiples ejes de opresión (género, raza, clase, entre otros) y, en consecuencia, el desarrollo de métodos que permitan captar la interacción de estos factores sin reducirlos a </w:t>
            </w:r>
            <w:r w:rsidRPr="053E65AD" w:rsidR="0022697C">
              <w:rPr>
                <w:rFonts w:ascii="Times New Roman" w:hAnsi="Times New Roman" w:eastAsia="Times New Roman" w:cs="Times New Roman"/>
                <w:sz w:val="24"/>
                <w:szCs w:val="24"/>
              </w:rPr>
              <w:t>categorías</w:t>
            </w:r>
            <w:r w:rsidRPr="053E65AD" w:rsidR="007519A7">
              <w:rPr>
                <w:rFonts w:ascii="Times New Roman" w:hAnsi="Times New Roman" w:eastAsia="Times New Roman" w:cs="Times New Roman"/>
                <w:sz w:val="24"/>
                <w:szCs w:val="24"/>
              </w:rPr>
              <w:t xml:space="preserve"> independientes. Autoras como </w:t>
            </w:r>
            <w:r w:rsidRPr="053E65AD" w:rsidR="007519A7">
              <w:rPr>
                <w:rFonts w:ascii="Times New Roman" w:hAnsi="Times New Roman" w:eastAsia="Times New Roman" w:cs="Times New Roman"/>
                <w:sz w:val="24"/>
                <w:szCs w:val="24"/>
              </w:rPr>
              <w:t>Kimberlé</w:t>
            </w:r>
            <w:r w:rsidRPr="053E65AD" w:rsidR="007519A7">
              <w:rPr>
                <w:rFonts w:ascii="Times New Roman" w:hAnsi="Times New Roman" w:eastAsia="Times New Roman" w:cs="Times New Roman"/>
                <w:sz w:val="24"/>
                <w:szCs w:val="24"/>
              </w:rPr>
              <w:t xml:space="preserve"> </w:t>
            </w:r>
            <w:r w:rsidRPr="053E65AD" w:rsidR="007519A7">
              <w:rPr>
                <w:rFonts w:ascii="Times New Roman" w:hAnsi="Times New Roman" w:eastAsia="Times New Roman" w:cs="Times New Roman"/>
                <w:sz w:val="24"/>
                <w:szCs w:val="24"/>
              </w:rPr>
              <w:t>Crenshaw</w:t>
            </w:r>
            <w:r w:rsidRPr="053E65AD" w:rsidR="007519A7">
              <w:rPr>
                <w:rFonts w:ascii="Times New Roman" w:hAnsi="Times New Roman" w:eastAsia="Times New Roman" w:cs="Times New Roman"/>
                <w:sz w:val="24"/>
                <w:szCs w:val="24"/>
              </w:rPr>
              <w:t xml:space="preserve"> y Patricia Hill Collins han subrayado la necesidad de metodologías que integren análisis narrativo, cuantitativo</w:t>
            </w:r>
            <w:r w:rsidRPr="053E65AD" w:rsidR="0022697C">
              <w:rPr>
                <w:rFonts w:ascii="Times New Roman" w:hAnsi="Times New Roman" w:eastAsia="Times New Roman" w:cs="Times New Roman"/>
                <w:sz w:val="24"/>
                <w:szCs w:val="24"/>
              </w:rPr>
              <w:t>, cualitativo</w:t>
            </w:r>
            <w:r w:rsidRPr="053E65AD" w:rsidR="007519A7">
              <w:rPr>
                <w:rFonts w:ascii="Times New Roman" w:hAnsi="Times New Roman" w:eastAsia="Times New Roman" w:cs="Times New Roman"/>
                <w:sz w:val="24"/>
                <w:szCs w:val="24"/>
              </w:rPr>
              <w:t xml:space="preserve"> y visual para mapear las experiencias vividas de manera holística. Sin embargo, la implementación práctica de estos enfoques presenta el desafío de articular datos y narrativas disímiles sin perder la complejidad inherente a las intersecciones.</w:t>
            </w:r>
          </w:p>
          <w:p w:rsidR="053E65AD" w:rsidP="053E65AD" w:rsidRDefault="053E65AD" w14:paraId="316159CF" w14:textId="6858B14D">
            <w:pPr>
              <w:pStyle w:val="NormalWeb"/>
              <w:rPr>
                <w:rFonts w:ascii="Times New Roman" w:hAnsi="Times New Roman" w:eastAsia="Times New Roman" w:cs="Times New Roman"/>
                <w:sz w:val="24"/>
                <w:szCs w:val="24"/>
              </w:rPr>
            </w:pPr>
          </w:p>
          <w:p w:rsidR="007519A7" w:rsidP="053E65AD" w:rsidRDefault="007519A7" w14:paraId="38A023C7" w14:textId="43F9FE00">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La categoría de resistencias, entendida tanto en términos de prácticas cotidianas como de movilizaciones colectivas, enfrenta el reto de ser analizada sin </w:t>
            </w:r>
            <w:r w:rsidRPr="053E65AD" w:rsidR="007519A7">
              <w:rPr>
                <w:rFonts w:ascii="Times New Roman" w:hAnsi="Times New Roman" w:eastAsia="Times New Roman" w:cs="Times New Roman"/>
                <w:sz w:val="24"/>
                <w:szCs w:val="24"/>
              </w:rPr>
              <w:t>reificar</w:t>
            </w:r>
            <w:r w:rsidRPr="053E65AD" w:rsidR="0022697C">
              <w:rPr>
                <w:rStyle w:val="Refdenotaalpie"/>
                <w:rFonts w:ascii="Times New Roman" w:hAnsi="Times New Roman" w:eastAsia="Times New Roman" w:cs="Times New Roman"/>
                <w:sz w:val="24"/>
                <w:szCs w:val="24"/>
              </w:rPr>
              <w:footnoteReference w:id="1"/>
            </w:r>
            <w:r w:rsidRPr="053E65AD" w:rsidR="007519A7">
              <w:rPr>
                <w:rFonts w:ascii="Times New Roman" w:hAnsi="Times New Roman" w:eastAsia="Times New Roman" w:cs="Times New Roman"/>
                <w:sz w:val="24"/>
                <w:szCs w:val="24"/>
              </w:rPr>
              <w:t xml:space="preserve"> los fenómenos que pretende deconstruir. En este ámbito, las metodologías deben ser sensibles a la ambigüedad y la fluidez de las prácticas de resistencia, evitando imponer categorías predefinidas que limiten la comprensión de cómo se generan nuevas formas de agenciamiento y subjetivación. Autores como Michel de Certeau y Chantal </w:t>
            </w:r>
            <w:r w:rsidRPr="053E65AD" w:rsidR="007519A7">
              <w:rPr>
                <w:rFonts w:ascii="Times New Roman" w:hAnsi="Times New Roman" w:eastAsia="Times New Roman" w:cs="Times New Roman"/>
                <w:sz w:val="24"/>
                <w:szCs w:val="24"/>
              </w:rPr>
              <w:t>Mouffe</w:t>
            </w:r>
            <w:r w:rsidRPr="053E65AD" w:rsidR="007519A7">
              <w:rPr>
                <w:rFonts w:ascii="Times New Roman" w:hAnsi="Times New Roman" w:eastAsia="Times New Roman" w:cs="Times New Roman"/>
                <w:sz w:val="24"/>
                <w:szCs w:val="24"/>
              </w:rPr>
              <w:t xml:space="preserve"> ofrecen marcos teóricos que invitan a una lectura arqueológica y agonística de la acción política, pero la transposición de estas ideas a diseños metodológicos concretos requiere un esfuerzo innovador que combine métodos participativos y analíticos.</w:t>
            </w:r>
          </w:p>
          <w:p w:rsidR="053E65AD" w:rsidP="053E65AD" w:rsidRDefault="053E65AD" w14:paraId="141AA581" w14:textId="1DCFE380">
            <w:pPr>
              <w:pStyle w:val="NormalWeb"/>
              <w:rPr>
                <w:rFonts w:ascii="Times New Roman" w:hAnsi="Times New Roman" w:eastAsia="Times New Roman" w:cs="Times New Roman"/>
                <w:sz w:val="24"/>
                <w:szCs w:val="24"/>
              </w:rPr>
            </w:pPr>
          </w:p>
          <w:p w:rsidR="007519A7" w:rsidP="053E65AD" w:rsidRDefault="007519A7" w14:paraId="7289618E" w14:textId="1BD43F4B">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Finalmente, surge el desafío de </w:t>
            </w:r>
            <w:r w:rsidRPr="053E65AD" w:rsidR="007519A7">
              <w:rPr>
                <w:rFonts w:ascii="Times New Roman" w:hAnsi="Times New Roman" w:eastAsia="Times New Roman" w:cs="Times New Roman"/>
                <w:sz w:val="24"/>
                <w:szCs w:val="24"/>
              </w:rPr>
              <w:t>decolonizar</w:t>
            </w:r>
            <w:r w:rsidRPr="053E65AD" w:rsidR="007519A7">
              <w:rPr>
                <w:rFonts w:ascii="Times New Roman" w:hAnsi="Times New Roman" w:eastAsia="Times New Roman" w:cs="Times New Roman"/>
                <w:sz w:val="24"/>
                <w:szCs w:val="24"/>
              </w:rPr>
              <w:t xml:space="preserve"> las metodologías en la investigación social. Los enfoques críticos que parten de las categorías tradicionales</w:t>
            </w:r>
            <w:r w:rsidRPr="053E65AD" w:rsidR="0022697C">
              <w:rPr>
                <w:rFonts w:ascii="Times New Roman" w:hAnsi="Times New Roman" w:eastAsia="Times New Roman" w:cs="Times New Roman"/>
                <w:sz w:val="24"/>
                <w:szCs w:val="24"/>
              </w:rPr>
              <w:t xml:space="preserve"> </w:t>
            </w:r>
            <w:r w:rsidRPr="053E65AD" w:rsidR="007519A7">
              <w:rPr>
                <w:rFonts w:ascii="Times New Roman" w:hAnsi="Times New Roman" w:eastAsia="Times New Roman" w:cs="Times New Roman"/>
                <w:sz w:val="24"/>
                <w:szCs w:val="24"/>
              </w:rPr>
              <w:t>—frecuentemente impregnadas de un eurocentrismo histórico—</w:t>
            </w:r>
            <w:r w:rsidRPr="053E65AD" w:rsidR="0022697C">
              <w:rPr>
                <w:rFonts w:ascii="Times New Roman" w:hAnsi="Times New Roman" w:eastAsia="Times New Roman" w:cs="Times New Roman"/>
                <w:sz w:val="24"/>
                <w:szCs w:val="24"/>
              </w:rPr>
              <w:t xml:space="preserve">, </w:t>
            </w:r>
            <w:r w:rsidRPr="053E65AD" w:rsidR="007519A7">
              <w:rPr>
                <w:rFonts w:ascii="Times New Roman" w:hAnsi="Times New Roman" w:eastAsia="Times New Roman" w:cs="Times New Roman"/>
                <w:sz w:val="24"/>
                <w:szCs w:val="24"/>
              </w:rPr>
              <w:t>deben abrir espacio a perspectivas decoloniales que permitan visibilizar los saberes y prácticas subalternas. En este sentido, la incorporación de metodologías autóctonas, narrativas orales y enfoques colaborativos puede enriquecer la investigación, al tiempo que se cuestiona la hegemonía epistemológica dominante. Autores contemporáneos en estudios decoloniales, como María Lugones y Gloria Anzaldúa, proponen repensar la forma en que se construye el conocimiento y se legitiman las metodologías, lo que implica también un compromiso ético y político con las comunidades estudiadas.</w:t>
            </w:r>
          </w:p>
          <w:p w:rsidR="053E65AD" w:rsidP="053E65AD" w:rsidRDefault="053E65AD" w14:paraId="4F488720" w14:textId="0992FFEF">
            <w:pPr>
              <w:pStyle w:val="NormalWeb"/>
              <w:rPr>
                <w:rFonts w:ascii="Times New Roman" w:hAnsi="Times New Roman" w:eastAsia="Times New Roman" w:cs="Times New Roman"/>
                <w:sz w:val="24"/>
                <w:szCs w:val="24"/>
              </w:rPr>
            </w:pPr>
          </w:p>
          <w:p w:rsidRPr="007519A7" w:rsidR="00691BE8" w:rsidP="053E65AD" w:rsidRDefault="007519A7" w14:paraId="08CE6F91" w14:textId="42220A33" w14:noSpellErr="1">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En síntesis, los desafíos metodológicos en esta línea de investigación </w:t>
            </w:r>
            <w:r w:rsidRPr="053E65AD" w:rsidR="0022697C">
              <w:rPr>
                <w:rFonts w:ascii="Times New Roman" w:hAnsi="Times New Roman" w:eastAsia="Times New Roman" w:cs="Times New Roman"/>
                <w:sz w:val="24"/>
                <w:szCs w:val="24"/>
              </w:rPr>
              <w:t xml:space="preserve">giran en torno al </w:t>
            </w:r>
            <w:r w:rsidRPr="053E65AD" w:rsidR="007519A7">
              <w:rPr>
                <w:rFonts w:ascii="Times New Roman" w:hAnsi="Times New Roman" w:eastAsia="Times New Roman" w:cs="Times New Roman"/>
                <w:sz w:val="24"/>
                <w:szCs w:val="24"/>
              </w:rPr>
              <w:t>diseñ</w:t>
            </w:r>
            <w:r w:rsidRPr="053E65AD" w:rsidR="0022697C">
              <w:rPr>
                <w:rFonts w:ascii="Times New Roman" w:hAnsi="Times New Roman" w:eastAsia="Times New Roman" w:cs="Times New Roman"/>
                <w:sz w:val="24"/>
                <w:szCs w:val="24"/>
              </w:rPr>
              <w:t xml:space="preserve">o de </w:t>
            </w:r>
            <w:r w:rsidRPr="053E65AD" w:rsidR="007519A7">
              <w:rPr>
                <w:rFonts w:ascii="Times New Roman" w:hAnsi="Times New Roman" w:eastAsia="Times New Roman" w:cs="Times New Roman"/>
                <w:sz w:val="24"/>
                <w:szCs w:val="24"/>
              </w:rPr>
              <w:t xml:space="preserve">estrategias que sean lo suficientemente flexibles y sensibles para capturar la complejidad de las representaciones sociales, la construcción de subjetividades y las dinámicas de poder. </w:t>
            </w:r>
            <w:r w:rsidRPr="053E65AD" w:rsidR="007519A7">
              <w:rPr>
                <w:rFonts w:ascii="Times New Roman" w:hAnsi="Times New Roman" w:eastAsia="Times New Roman" w:cs="Times New Roman"/>
                <w:sz w:val="24"/>
                <w:szCs w:val="24"/>
              </w:rPr>
              <w:t>Esto exige no solo el uso de enfoques mixtos y transdisciplinarios, sino también una constante reflexión crítica sobre la posición de</w:t>
            </w:r>
            <w:r w:rsidRPr="053E65AD" w:rsidR="0022697C">
              <w:rPr>
                <w:rFonts w:ascii="Times New Roman" w:hAnsi="Times New Roman" w:eastAsia="Times New Roman" w:cs="Times New Roman"/>
                <w:sz w:val="24"/>
                <w:szCs w:val="24"/>
              </w:rPr>
              <w:t xml:space="preserve"> quien investiga</w:t>
            </w:r>
            <w:r w:rsidRPr="053E65AD" w:rsidR="007519A7">
              <w:rPr>
                <w:rFonts w:ascii="Times New Roman" w:hAnsi="Times New Roman" w:eastAsia="Times New Roman" w:cs="Times New Roman"/>
                <w:sz w:val="24"/>
                <w:szCs w:val="24"/>
              </w:rPr>
              <w:t>, la naturaleza situada del conocimiento y la urgencia de integrar perspectivas decoloniales y de género para dar cuenta de la pluralidad de experiencias y resistencias en contextos contemporáneos.</w:t>
            </w:r>
          </w:p>
        </w:tc>
      </w:tr>
      <w:tr w:rsidRPr="00126B90" w:rsidR="00FE4B66" w:rsidTr="423DC7A3" w14:paraId="3DA4B5A2" w14:textId="77777777">
        <w:trPr>
          <w:trHeight w:val="2300"/>
        </w:trPr>
        <w:tc>
          <w:tcPr>
            <w:tcW w:w="9673" w:type="dxa"/>
            <w:gridSpan w:val="2"/>
            <w:tcBorders>
              <w:top w:val="nil"/>
              <w:left w:val="nil"/>
              <w:bottom w:val="nil"/>
              <w:right w:val="nil"/>
            </w:tcBorders>
            <w:tcMar/>
            <w:vAlign w:val="center"/>
          </w:tcPr>
          <w:tbl>
            <w:tblPr>
              <w:tblW w:w="9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506"/>
            </w:tblGrid>
            <w:tr w:rsidRPr="00126B90" w:rsidR="00FE4B66" w:rsidTr="053E65AD" w14:paraId="56529B44" w14:textId="77777777">
              <w:trPr>
                <w:trHeight w:val="22"/>
              </w:trPr>
              <w:tc>
                <w:tcPr>
                  <w:tcW w:w="9506" w:type="dxa"/>
                  <w:tcBorders>
                    <w:top w:val="nil"/>
                    <w:left w:val="nil"/>
                    <w:right w:val="nil"/>
                  </w:tcBorders>
                  <w:tcMar/>
                  <w:vAlign w:val="center"/>
                </w:tcPr>
                <w:p w:rsidRPr="00126B90" w:rsidR="00FE4B66" w:rsidP="053E65AD" w:rsidRDefault="00FE4B66" w14:paraId="61CDCEAD" w14:textId="77777777" w14:noSpellErr="1">
                  <w:pPr>
                    <w:rPr>
                      <w:rFonts w:ascii="Times New Roman" w:hAnsi="Times New Roman" w:eastAsia="Times New Roman" w:cs="Times New Roman"/>
                      <w:sz w:val="24"/>
                      <w:szCs w:val="24"/>
                      <w:lang w:val="es-ES"/>
                    </w:rPr>
                  </w:pPr>
                </w:p>
                <w:p w:rsidRPr="00126B90" w:rsidR="00FE4B66" w:rsidP="053E65AD" w:rsidRDefault="00FE4B66" w14:paraId="3308F45A" w14:textId="77777777" w14:noSpellErr="1">
                  <w:pPr>
                    <w:rPr>
                      <w:rFonts w:ascii="Times New Roman" w:hAnsi="Times New Roman" w:eastAsia="Times New Roman" w:cs="Times New Roman"/>
                      <w:sz w:val="24"/>
                      <w:szCs w:val="24"/>
                      <w:lang w:val="es-ES"/>
                    </w:rPr>
                  </w:pPr>
                  <w:r w:rsidRPr="053E65AD" w:rsidR="00FE4B66">
                    <w:rPr>
                      <w:rFonts w:ascii="Times New Roman" w:hAnsi="Times New Roman" w:eastAsia="Times New Roman" w:cs="Times New Roman"/>
                      <w:sz w:val="24"/>
                      <w:szCs w:val="24"/>
                      <w:lang w:val="es-ES"/>
                    </w:rPr>
                    <w:t>Objetivo del grupo o línea de investigación</w:t>
                  </w:r>
                </w:p>
              </w:tc>
            </w:tr>
            <w:tr w:rsidRPr="00126B90" w:rsidR="00FE4B66" w:rsidTr="053E65AD" w14:paraId="60EDB9EE" w14:textId="77777777">
              <w:trPr>
                <w:trHeight w:val="22"/>
              </w:trPr>
              <w:tc>
                <w:tcPr>
                  <w:tcW w:w="9506" w:type="dxa"/>
                  <w:tcBorders>
                    <w:bottom w:val="single" w:color="auto" w:sz="4" w:space="0"/>
                  </w:tcBorders>
                  <w:tcMar/>
                  <w:vAlign w:val="center"/>
                </w:tcPr>
                <w:p w:rsidR="0022697C" w:rsidP="053E65AD" w:rsidRDefault="0022697C" w14:paraId="3B8E95AB" w14:textId="77777777" w14:noSpellErr="1">
                  <w:pPr>
                    <w:pStyle w:val="NormalWeb"/>
                    <w:rPr>
                      <w:rFonts w:ascii="Times New Roman" w:hAnsi="Times New Roman" w:eastAsia="Times New Roman" w:cs="Times New Roman"/>
                      <w:sz w:val="24"/>
                      <w:szCs w:val="24"/>
                    </w:rPr>
                  </w:pPr>
                </w:p>
                <w:p w:rsidR="0022697C" w:rsidP="053E65AD" w:rsidRDefault="007519A7" w14:paraId="6300F8F2" w14:textId="68784DE0" w14:noSpellErr="1">
                  <w:pPr>
                    <w:pStyle w:val="NormalWeb"/>
                    <w:rPr>
                      <w:rFonts w:ascii="Times New Roman" w:hAnsi="Times New Roman" w:eastAsia="Times New Roman" w:cs="Times New Roman"/>
                      <w:sz w:val="24"/>
                      <w:szCs w:val="24"/>
                    </w:rPr>
                  </w:pPr>
                  <w:r w:rsidRPr="053E65AD" w:rsidR="007519A7">
                    <w:rPr>
                      <w:rFonts w:ascii="Times New Roman" w:hAnsi="Times New Roman" w:eastAsia="Times New Roman" w:cs="Times New Roman"/>
                      <w:sz w:val="24"/>
                      <w:szCs w:val="24"/>
                    </w:rPr>
                    <w:t xml:space="preserve">El objetivo central </w:t>
                  </w:r>
                  <w:r w:rsidRPr="053E65AD" w:rsidR="004B1EB3">
                    <w:rPr>
                      <w:rFonts w:ascii="Times New Roman" w:hAnsi="Times New Roman" w:eastAsia="Times New Roman" w:cs="Times New Roman"/>
                      <w:sz w:val="24"/>
                      <w:szCs w:val="24"/>
                    </w:rPr>
                    <w:t xml:space="preserve">de esta línea </w:t>
                  </w:r>
                  <w:r w:rsidRPr="053E65AD" w:rsidR="007519A7">
                    <w:rPr>
                      <w:rFonts w:ascii="Times New Roman" w:hAnsi="Times New Roman" w:eastAsia="Times New Roman" w:cs="Times New Roman"/>
                      <w:sz w:val="24"/>
                      <w:szCs w:val="24"/>
                    </w:rPr>
                    <w:t xml:space="preserve">consiste en </w:t>
                  </w:r>
                  <w:r w:rsidRPr="053E65AD" w:rsidR="004B1EB3">
                    <w:rPr>
                      <w:rFonts w:ascii="Times New Roman" w:hAnsi="Times New Roman" w:eastAsia="Times New Roman" w:cs="Times New Roman"/>
                      <w:sz w:val="24"/>
                      <w:szCs w:val="24"/>
                    </w:rPr>
                    <w:t xml:space="preserve">acercarnos </w:t>
                  </w:r>
                  <w:r w:rsidRPr="053E65AD" w:rsidR="007519A7">
                    <w:rPr>
                      <w:rFonts w:ascii="Times New Roman" w:hAnsi="Times New Roman" w:eastAsia="Times New Roman" w:cs="Times New Roman"/>
                      <w:sz w:val="24"/>
                      <w:szCs w:val="24"/>
                    </w:rPr>
                    <w:t>compren</w:t>
                  </w:r>
                  <w:r w:rsidRPr="053E65AD" w:rsidR="004B1EB3">
                    <w:rPr>
                      <w:rFonts w:ascii="Times New Roman" w:hAnsi="Times New Roman" w:eastAsia="Times New Roman" w:cs="Times New Roman"/>
                      <w:sz w:val="24"/>
                      <w:szCs w:val="24"/>
                    </w:rPr>
                    <w:t xml:space="preserve">sivamente a </w:t>
                  </w:r>
                  <w:r w:rsidRPr="053E65AD" w:rsidR="007519A7">
                    <w:rPr>
                      <w:rFonts w:ascii="Times New Roman" w:hAnsi="Times New Roman" w:eastAsia="Times New Roman" w:cs="Times New Roman"/>
                      <w:sz w:val="24"/>
                      <w:szCs w:val="24"/>
                    </w:rPr>
                    <w:t xml:space="preserve">la intersección entre las representaciones sociales y la construcción de subjetividades en contextos de lucha y resistencia. Se pretende, a través de un enfoque crítico y decolonial, identificar los mecanismos mediante los cuales se constituyen las identidades a partir de las dinámicas de género, </w:t>
                  </w:r>
                  <w:r w:rsidRPr="053E65AD" w:rsidR="004B1EB3">
                    <w:rPr>
                      <w:rFonts w:ascii="Times New Roman" w:hAnsi="Times New Roman" w:eastAsia="Times New Roman" w:cs="Times New Roman"/>
                      <w:sz w:val="24"/>
                      <w:szCs w:val="24"/>
                    </w:rPr>
                    <w:t xml:space="preserve">los estudios </w:t>
                  </w:r>
                  <w:r w:rsidRPr="053E65AD" w:rsidR="007519A7">
                    <w:rPr>
                      <w:rFonts w:ascii="Times New Roman" w:hAnsi="Times New Roman" w:eastAsia="Times New Roman" w:cs="Times New Roman"/>
                      <w:sz w:val="24"/>
                      <w:szCs w:val="24"/>
                    </w:rPr>
                    <w:t>feminis</w:t>
                  </w:r>
                  <w:r w:rsidRPr="053E65AD" w:rsidR="004B1EB3">
                    <w:rPr>
                      <w:rFonts w:ascii="Times New Roman" w:hAnsi="Times New Roman" w:eastAsia="Times New Roman" w:cs="Times New Roman"/>
                      <w:sz w:val="24"/>
                      <w:szCs w:val="24"/>
                    </w:rPr>
                    <w:t>tas y la</w:t>
                  </w:r>
                  <w:r w:rsidRPr="053E65AD" w:rsidR="007519A7">
                    <w:rPr>
                      <w:rFonts w:ascii="Times New Roman" w:hAnsi="Times New Roman" w:eastAsia="Times New Roman" w:cs="Times New Roman"/>
                      <w:sz w:val="24"/>
                      <w:szCs w:val="24"/>
                    </w:rPr>
                    <w:t xml:space="preserve"> interseccionalidad, </w:t>
                  </w:r>
                  <w:r w:rsidRPr="053E65AD" w:rsidR="004B1EB3">
                    <w:rPr>
                      <w:rFonts w:ascii="Times New Roman" w:hAnsi="Times New Roman" w:eastAsia="Times New Roman" w:cs="Times New Roman"/>
                      <w:sz w:val="24"/>
                      <w:szCs w:val="24"/>
                    </w:rPr>
                    <w:t xml:space="preserve">a la vez que </w:t>
                  </w:r>
                  <w:r w:rsidRPr="053E65AD" w:rsidR="007519A7">
                    <w:rPr>
                      <w:rFonts w:ascii="Times New Roman" w:hAnsi="Times New Roman" w:eastAsia="Times New Roman" w:cs="Times New Roman"/>
                      <w:sz w:val="24"/>
                      <w:szCs w:val="24"/>
                    </w:rPr>
                    <w:t>proponer estrategias pedagógicas y políticas que fortalezcan la defensa de los derechos humanos y la transformación social</w:t>
                  </w:r>
                  <w:r w:rsidRPr="053E65AD" w:rsidR="0022697C">
                    <w:rPr>
                      <w:rFonts w:ascii="Times New Roman" w:hAnsi="Times New Roman" w:eastAsia="Times New Roman" w:cs="Times New Roman"/>
                      <w:sz w:val="24"/>
                      <w:szCs w:val="24"/>
                    </w:rPr>
                    <w:t>.</w:t>
                  </w:r>
                </w:p>
                <w:p w:rsidRPr="007519A7" w:rsidR="00B92F92" w:rsidP="053E65AD" w:rsidRDefault="00B92F92" w14:paraId="23DE523C" w14:textId="375B4B8F" w14:noSpellErr="1">
                  <w:pPr>
                    <w:pStyle w:val="NormalWeb"/>
                    <w:rPr>
                      <w:rFonts w:ascii="Times New Roman" w:hAnsi="Times New Roman" w:eastAsia="Times New Roman" w:cs="Times New Roman"/>
                      <w:sz w:val="24"/>
                      <w:szCs w:val="24"/>
                      <w:lang w:eastAsia="es-MX"/>
                    </w:rPr>
                  </w:pPr>
                </w:p>
              </w:tc>
            </w:tr>
            <w:tr w:rsidRPr="00126B90" w:rsidR="003721F3" w:rsidTr="053E65AD" w14:paraId="16B3E343" w14:textId="77777777">
              <w:trPr>
                <w:trHeight w:val="22"/>
              </w:trPr>
              <w:tc>
                <w:tcPr>
                  <w:tcW w:w="9506" w:type="dxa"/>
                  <w:tcBorders>
                    <w:top w:val="nil"/>
                    <w:left w:val="nil"/>
                    <w:right w:val="nil"/>
                  </w:tcBorders>
                  <w:tcMar/>
                  <w:vAlign w:val="center"/>
                </w:tcPr>
                <w:p w:rsidRPr="00126B90" w:rsidR="003721F3" w:rsidP="053E65AD" w:rsidRDefault="003721F3" w14:paraId="52E56223" w14:textId="77777777" w14:noSpellErr="1">
                  <w:pPr>
                    <w:rPr>
                      <w:rFonts w:ascii="Times New Roman" w:hAnsi="Times New Roman" w:eastAsia="Times New Roman" w:cs="Times New Roman"/>
                      <w:sz w:val="24"/>
                      <w:szCs w:val="24"/>
                      <w:lang w:val="es-ES"/>
                    </w:rPr>
                  </w:pPr>
                </w:p>
                <w:p w:rsidRPr="00126B90" w:rsidR="003721F3" w:rsidP="053E65AD" w:rsidRDefault="003721F3" w14:paraId="7FB6A4D7" w14:textId="77777777" w14:noSpellErr="1">
                  <w:pPr>
                    <w:rPr>
                      <w:rFonts w:ascii="Times New Roman" w:hAnsi="Times New Roman" w:eastAsia="Times New Roman" w:cs="Times New Roman"/>
                      <w:sz w:val="24"/>
                      <w:szCs w:val="24"/>
                      <w:lang w:val="es-ES"/>
                    </w:rPr>
                  </w:pPr>
                  <w:r w:rsidRPr="053E65AD" w:rsidR="003721F3">
                    <w:rPr>
                      <w:rFonts w:ascii="Times New Roman" w:hAnsi="Times New Roman" w:eastAsia="Times New Roman" w:cs="Times New Roman"/>
                      <w:sz w:val="24"/>
                      <w:szCs w:val="24"/>
                      <w:lang w:val="es-ES"/>
                    </w:rPr>
                    <w:t>Justificación en relación con los propósitos de formación de los Programas</w:t>
                  </w:r>
                </w:p>
              </w:tc>
            </w:tr>
            <w:tr w:rsidRPr="00126B90" w:rsidR="003721F3" w:rsidTr="053E65AD" w14:paraId="6D52FDF3" w14:textId="77777777">
              <w:trPr>
                <w:trHeight w:val="22"/>
              </w:trPr>
              <w:tc>
                <w:tcPr>
                  <w:tcW w:w="9506" w:type="dxa"/>
                  <w:tcBorders>
                    <w:bottom w:val="single" w:color="auto" w:sz="4" w:space="0"/>
                  </w:tcBorders>
                  <w:tcMar/>
                  <w:vAlign w:val="center"/>
                </w:tcPr>
                <w:p w:rsidR="000A6C5F" w:rsidP="053E65AD" w:rsidRDefault="000A6C5F" w14:paraId="07547A01" w14:textId="77777777" w14:noSpellErr="1">
                  <w:pPr>
                    <w:rPr>
                      <w:rFonts w:ascii="Times New Roman" w:hAnsi="Times New Roman" w:eastAsia="Times New Roman" w:cs="Times New Roman"/>
                      <w:sz w:val="24"/>
                      <w:szCs w:val="24"/>
                    </w:rPr>
                  </w:pPr>
                </w:p>
                <w:p w:rsidRPr="00126B90" w:rsidR="00691BE8" w:rsidP="053E65AD" w:rsidRDefault="007519A7" w14:noSpellErr="1" w14:paraId="096A9C83" w14:textId="05BEBB5D">
                  <w:pPr>
                    <w:rPr>
                      <w:rFonts w:ascii="Times New Roman" w:hAnsi="Times New Roman" w:eastAsia="Times New Roman" w:cs="Times New Roman"/>
                      <w:sz w:val="24"/>
                      <w:szCs w:val="24"/>
                      <w:lang w:val="es-ES"/>
                    </w:rPr>
                  </w:pPr>
                  <w:r w:rsidRPr="053E65AD" w:rsidR="007519A7">
                    <w:rPr>
                      <w:rFonts w:ascii="Times New Roman" w:hAnsi="Times New Roman" w:eastAsia="Times New Roman" w:cs="Times New Roman"/>
                      <w:sz w:val="24"/>
                      <w:szCs w:val="24"/>
                    </w:rPr>
                    <w:t>Esta línea de investigación se justifica en el marco de la Maestría en Educación y Derechos Humanos al integrar perspectivas críticas y contemporáneas que permiten cuestionar y resignificar las prácticas institucionales y culturales. Al abordar temáticas fundamentales como la diversidad, la inclusión y la resistencia, se contribuye a la formación de profesionales comprometidos con la transformación social y la defensa de los derechos humanos, aspectos cruciales en la agenda educativa y política actual. La articulación de las categorías de feminismos, género, interseccionalidad y resistencias permite desarrollar propuestas que respondan a los desafíos de una sociedad plural y diversa, fortaleciendo así la praxis pedagógica y la acción política transformadora.</w:t>
                  </w:r>
                </w:p>
                <w:p w:rsidRPr="00126B90" w:rsidR="00691BE8" w:rsidP="053E65AD" w:rsidRDefault="007519A7" w14:paraId="07459315" w14:textId="22D39FD2">
                  <w:pPr>
                    <w:rPr>
                      <w:rFonts w:ascii="Times New Roman" w:hAnsi="Times New Roman" w:eastAsia="Times New Roman" w:cs="Times New Roman"/>
                      <w:sz w:val="24"/>
                      <w:szCs w:val="24"/>
                      <w:lang w:val="es-ES"/>
                    </w:rPr>
                  </w:pPr>
                </w:p>
              </w:tc>
            </w:tr>
          </w:tbl>
          <w:p w:rsidR="003721F3" w:rsidP="053E65AD" w:rsidRDefault="003721F3" w14:paraId="6537F28F" w14:textId="77777777" w14:noSpellErr="1">
            <w:pPr>
              <w:rPr>
                <w:rFonts w:ascii="Times New Roman" w:hAnsi="Times New Roman" w:eastAsia="Times New Roman" w:cs="Times New Roman"/>
                <w:sz w:val="24"/>
                <w:szCs w:val="24"/>
                <w:lang w:val="es-ES"/>
              </w:rPr>
            </w:pPr>
          </w:p>
          <w:tbl>
            <w:tblPr>
              <w:tblW w:w="9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87"/>
            </w:tblGrid>
            <w:tr w:rsidRPr="00126B90" w:rsidR="00230CB9" w:rsidTr="423DC7A3" w14:paraId="5563ED4B" w14:textId="77777777">
              <w:trPr>
                <w:trHeight w:val="20"/>
              </w:trPr>
              <w:tc>
                <w:tcPr>
                  <w:tcW w:w="9087" w:type="dxa"/>
                  <w:tcBorders>
                    <w:top w:val="nil"/>
                    <w:left w:val="nil"/>
                    <w:bottom w:val="single" w:color="auto" w:sz="4" w:space="0"/>
                    <w:right w:val="nil"/>
                  </w:tcBorders>
                  <w:tcMar/>
                  <w:vAlign w:val="center"/>
                </w:tcPr>
                <w:p w:rsidRPr="00126B90" w:rsidR="00230CB9" w:rsidP="053E65AD" w:rsidRDefault="00230CB9" w14:paraId="17E23144" w14:textId="77777777" w14:noSpellErr="1">
                  <w:pPr>
                    <w:rPr>
                      <w:rFonts w:ascii="Times New Roman" w:hAnsi="Times New Roman" w:eastAsia="Times New Roman" w:cs="Times New Roman"/>
                      <w:sz w:val="24"/>
                      <w:szCs w:val="24"/>
                      <w:lang w:val="es-ES"/>
                    </w:rPr>
                  </w:pPr>
                  <w:r w:rsidRPr="053E65AD" w:rsidR="00230CB9">
                    <w:rPr>
                      <w:rFonts w:ascii="Times New Roman" w:hAnsi="Times New Roman" w:eastAsia="Times New Roman" w:cs="Times New Roman"/>
                      <w:sz w:val="24"/>
                      <w:szCs w:val="24"/>
                      <w:lang w:val="es-ES"/>
                    </w:rPr>
                    <w:t>Proyectos desarrollados o en ejecución</w:t>
                  </w:r>
                </w:p>
              </w:tc>
            </w:tr>
            <w:tr w:rsidRPr="00126B90" w:rsidR="00230CB9" w:rsidTr="423DC7A3" w14:paraId="16385D7C" w14:textId="77777777">
              <w:trPr>
                <w:trHeight w:val="20"/>
              </w:trPr>
              <w:tc>
                <w:tcPr>
                  <w:tcW w:w="9087" w:type="dxa"/>
                  <w:tcBorders>
                    <w:bottom w:val="single" w:color="auto" w:sz="4" w:space="0"/>
                  </w:tcBorders>
                  <w:tcMar/>
                  <w:vAlign w:val="center"/>
                </w:tcPr>
                <w:p w:rsidRPr="00126B90" w:rsidR="00230CB9" w:rsidP="053E65AD" w:rsidRDefault="00230CB9" w14:paraId="44E871BC" w14:textId="77777777" w14:noSpellErr="1">
                  <w:pPr>
                    <w:rPr>
                      <w:rFonts w:ascii="Times New Roman" w:hAnsi="Times New Roman" w:eastAsia="Times New Roman" w:cs="Times New Roman"/>
                      <w:sz w:val="24"/>
                      <w:szCs w:val="24"/>
                      <w:lang w:val="es-ES"/>
                    </w:rPr>
                  </w:pPr>
                </w:p>
              </w:tc>
            </w:tr>
            <w:tr w:rsidRPr="00126B90" w:rsidR="003721F3" w:rsidTr="423DC7A3" w14:paraId="17C9C103" w14:textId="77777777">
              <w:trPr>
                <w:trHeight w:val="20"/>
              </w:trPr>
              <w:tc>
                <w:tcPr>
                  <w:tcW w:w="9087" w:type="dxa"/>
                  <w:tcBorders>
                    <w:top w:val="nil"/>
                    <w:left w:val="nil"/>
                    <w:bottom w:val="single" w:color="auto" w:sz="4" w:space="0"/>
                    <w:right w:val="nil"/>
                  </w:tcBorders>
                  <w:tcMar/>
                  <w:vAlign w:val="center"/>
                </w:tcPr>
                <w:p w:rsidR="000A6C5F" w:rsidP="053E65AD" w:rsidRDefault="000A6C5F" w14:paraId="463F29E8" w14:textId="77777777" w14:noSpellErr="1">
                  <w:pPr>
                    <w:rPr>
                      <w:rFonts w:ascii="Times New Roman" w:hAnsi="Times New Roman" w:eastAsia="Times New Roman" w:cs="Times New Roman"/>
                      <w:sz w:val="24"/>
                      <w:szCs w:val="24"/>
                    </w:rPr>
                  </w:pPr>
                </w:p>
                <w:p w:rsidRPr="00126B90" w:rsidR="000A6C5F" w:rsidP="053E65AD" w:rsidRDefault="000A6C5F" w14:paraId="3B7B4B86" w14:textId="77777777" w14:noSpellErr="1">
                  <w:pPr>
                    <w:rPr>
                      <w:rFonts w:ascii="Times New Roman" w:hAnsi="Times New Roman" w:eastAsia="Times New Roman" w:cs="Times New Roman"/>
                      <w:sz w:val="24"/>
                      <w:szCs w:val="24"/>
                    </w:rPr>
                  </w:pPr>
                </w:p>
                <w:p w:rsidR="003721F3" w:rsidP="053E65AD" w:rsidRDefault="003721F3" w14:paraId="7800E52D" w14:textId="77777777" w14:noSpellErr="1">
                  <w:pPr>
                    <w:rPr>
                      <w:rFonts w:ascii="Times New Roman" w:hAnsi="Times New Roman" w:eastAsia="Times New Roman" w:cs="Times New Roman"/>
                      <w:sz w:val="24"/>
                      <w:szCs w:val="24"/>
                      <w:lang w:val="es-ES"/>
                    </w:rPr>
                  </w:pPr>
                  <w:r w:rsidRPr="053E65AD" w:rsidR="003721F3">
                    <w:rPr>
                      <w:rFonts w:ascii="Times New Roman" w:hAnsi="Times New Roman" w:eastAsia="Times New Roman" w:cs="Times New Roman"/>
                      <w:sz w:val="24"/>
                      <w:szCs w:val="24"/>
                      <w:lang w:val="es-ES"/>
                    </w:rPr>
                    <w:t>Posibles proyectos a ser desarrollados</w:t>
                  </w:r>
                  <w:r w:rsidRPr="053E65AD" w:rsidR="003721F3">
                    <w:rPr>
                      <w:rFonts w:ascii="Times New Roman" w:hAnsi="Times New Roman" w:eastAsia="Times New Roman" w:cs="Times New Roman"/>
                      <w:sz w:val="24"/>
                      <w:szCs w:val="24"/>
                      <w:lang w:val="es-ES"/>
                    </w:rPr>
                    <w:t xml:space="preserve"> </w:t>
                  </w:r>
                </w:p>
                <w:p w:rsidRPr="00126B90" w:rsidR="00B01E48" w:rsidP="053E65AD" w:rsidRDefault="00B01E48" w14:paraId="3A0FF5F2" w14:textId="77777777" w14:noSpellErr="1">
                  <w:pPr>
                    <w:rPr>
                      <w:rFonts w:ascii="Times New Roman" w:hAnsi="Times New Roman" w:eastAsia="Times New Roman" w:cs="Times New Roman"/>
                      <w:sz w:val="24"/>
                      <w:szCs w:val="24"/>
                      <w:lang w:val="es-ES"/>
                    </w:rPr>
                  </w:pPr>
                </w:p>
              </w:tc>
            </w:tr>
            <w:tr w:rsidRPr="00126B90" w:rsidR="003721F3" w:rsidTr="423DC7A3" w14:paraId="242C4FEF" w14:textId="77777777">
              <w:trPr>
                <w:trHeight w:val="20"/>
              </w:trPr>
              <w:tc>
                <w:tcPr>
                  <w:tcW w:w="9087" w:type="dxa"/>
                  <w:tcBorders>
                    <w:bottom w:val="single" w:color="auto" w:sz="4" w:space="0"/>
                  </w:tcBorders>
                  <w:tcMar/>
                  <w:vAlign w:val="center"/>
                </w:tcPr>
                <w:p w:rsidR="007519A7" w:rsidP="053E65AD" w:rsidRDefault="007519A7" w14:paraId="7D8F52D7" w14:textId="6554387C">
                  <w:pPr>
                    <w:pStyle w:val="NormalWeb"/>
                    <w:numPr>
                      <w:ilvl w:val="0"/>
                      <w:numId w:val="16"/>
                    </w:numPr>
                    <w:rPr>
                      <w:rFonts w:ascii="Times New Roman" w:hAnsi="Times New Roman" w:eastAsia="Times New Roman" w:cs="Times New Roman"/>
                      <w:sz w:val="24"/>
                      <w:szCs w:val="24"/>
                      <w:lang w:eastAsia="es-MX"/>
                    </w:rPr>
                  </w:pPr>
                  <w:r w:rsidRPr="053E65AD" w:rsidR="007519A7">
                    <w:rPr>
                      <w:rStyle w:val="Textoennegrita"/>
                      <w:rFonts w:ascii="Times New Roman" w:hAnsi="Times New Roman" w:eastAsia="Times New Roman" w:cs="Times New Roman"/>
                      <w:sz w:val="24"/>
                      <w:szCs w:val="24"/>
                    </w:rPr>
                    <w:t>Narrativas de Resistencia y Construcción de Subjetividades en Contextos Educativos:</w:t>
                  </w:r>
                  <w:r>
                    <w:br/>
                  </w:r>
                  <w:r w:rsidRPr="053E65AD" w:rsidR="007519A7">
                    <w:rPr>
                      <w:rFonts w:ascii="Times New Roman" w:hAnsi="Times New Roman" w:eastAsia="Times New Roman" w:cs="Times New Roman"/>
                      <w:sz w:val="24"/>
                      <w:szCs w:val="24"/>
                    </w:rPr>
                    <w:t>Estudio de las prácticas pedagógicas que favorecen la emergencia de subjetividades críticas y la resistencia a discursos hegemónicos en instituciones educativas.</w:t>
                  </w:r>
                </w:p>
                <w:p w:rsidR="007519A7" w:rsidP="053E65AD" w:rsidRDefault="007519A7" w14:paraId="7E6A0D8B" w14:textId="74FBB8CF">
                  <w:pPr>
                    <w:pStyle w:val="NormalWeb"/>
                    <w:numPr>
                      <w:ilvl w:val="0"/>
                      <w:numId w:val="16"/>
                    </w:numPr>
                    <w:rPr>
                      <w:rFonts w:ascii="Times New Roman" w:hAnsi="Times New Roman" w:eastAsia="Times New Roman" w:cs="Times New Roman"/>
                      <w:sz w:val="24"/>
                      <w:szCs w:val="24"/>
                    </w:rPr>
                  </w:pPr>
                  <w:r w:rsidRPr="053E65AD" w:rsidR="007519A7">
                    <w:rPr>
                      <w:rStyle w:val="Textoennegrita"/>
                      <w:rFonts w:ascii="Times New Roman" w:hAnsi="Times New Roman" w:eastAsia="Times New Roman" w:cs="Times New Roman"/>
                      <w:sz w:val="24"/>
                      <w:szCs w:val="24"/>
                    </w:rPr>
                    <w:t>Pedagogías</w:t>
                  </w:r>
                  <w:r w:rsidRPr="053E65AD" w:rsidR="007519A7">
                    <w:rPr>
                      <w:rStyle w:val="Textoennegrita"/>
                      <w:rFonts w:ascii="Times New Roman" w:hAnsi="Times New Roman" w:eastAsia="Times New Roman" w:cs="Times New Roman"/>
                      <w:sz w:val="24"/>
                      <w:szCs w:val="24"/>
                    </w:rPr>
                    <w:t xml:space="preserve"> Feministas y Transformación de las Representaciones Sociales:</w:t>
                  </w:r>
                  <w:r>
                    <w:br/>
                  </w:r>
                  <w:r w:rsidRPr="053E65AD" w:rsidR="007519A7">
                    <w:rPr>
                      <w:rFonts w:ascii="Times New Roman" w:hAnsi="Times New Roman" w:eastAsia="Times New Roman" w:cs="Times New Roman"/>
                      <w:sz w:val="24"/>
                      <w:szCs w:val="24"/>
                    </w:rPr>
                    <w:t>Análisis comparativo de estrategias de enseñanza basadas en enfoques feministas y su impacto en la equidad de género y en la deconstrucción de estereotipos.</w:t>
                  </w:r>
                </w:p>
                <w:p w:rsidR="007519A7" w:rsidP="053E65AD" w:rsidRDefault="007519A7" w14:paraId="45968F0C" w14:textId="6C12D494">
                  <w:pPr>
                    <w:pStyle w:val="NormalWeb"/>
                    <w:numPr>
                      <w:ilvl w:val="0"/>
                      <w:numId w:val="16"/>
                    </w:numPr>
                    <w:rPr>
                      <w:rFonts w:ascii="Times New Roman" w:hAnsi="Times New Roman" w:eastAsia="Times New Roman" w:cs="Times New Roman"/>
                      <w:sz w:val="24"/>
                      <w:szCs w:val="24"/>
                    </w:rPr>
                  </w:pPr>
                  <w:r w:rsidRPr="053E65AD" w:rsidR="007519A7">
                    <w:rPr>
                      <w:rStyle w:val="Textoennegrita"/>
                      <w:rFonts w:ascii="Times New Roman" w:hAnsi="Times New Roman" w:eastAsia="Times New Roman" w:cs="Times New Roman"/>
                      <w:sz w:val="24"/>
                      <w:szCs w:val="24"/>
                    </w:rPr>
                    <w:t>Interseccionalidad</w:t>
                  </w:r>
                  <w:r w:rsidRPr="053E65AD" w:rsidR="007519A7">
                    <w:rPr>
                      <w:rStyle w:val="Textoennegrita"/>
                      <w:rFonts w:ascii="Times New Roman" w:hAnsi="Times New Roman" w:eastAsia="Times New Roman" w:cs="Times New Roman"/>
                      <w:sz w:val="24"/>
                      <w:szCs w:val="24"/>
                    </w:rPr>
                    <w:t xml:space="preserve"> y Políticas Públicas de Inclusión en la Educación:</w:t>
                  </w:r>
                  <w:r>
                    <w:br/>
                  </w:r>
                  <w:r w:rsidRPr="053E65AD" w:rsidR="007519A7">
                    <w:rPr>
                      <w:rFonts w:ascii="Times New Roman" w:hAnsi="Times New Roman" w:eastAsia="Times New Roman" w:cs="Times New Roman"/>
                      <w:sz w:val="24"/>
                      <w:szCs w:val="24"/>
                    </w:rPr>
                    <w:t>Investigación sobre la incorporación de la interseccionalidad en el diseño de políticas educativas que atiendan la diversidad étnica, de géner</w:t>
                  </w:r>
                  <w:r w:rsidRPr="053E65AD" w:rsidR="004B1EB3">
                    <w:rPr>
                      <w:rFonts w:ascii="Times New Roman" w:hAnsi="Times New Roman" w:eastAsia="Times New Roman" w:cs="Times New Roman"/>
                      <w:sz w:val="24"/>
                      <w:szCs w:val="24"/>
                    </w:rPr>
                    <w:t>o,</w:t>
                  </w:r>
                  <w:r w:rsidRPr="053E65AD" w:rsidR="007519A7">
                    <w:rPr>
                      <w:rFonts w:ascii="Times New Roman" w:hAnsi="Times New Roman" w:eastAsia="Times New Roman" w:cs="Times New Roman"/>
                      <w:sz w:val="24"/>
                      <w:szCs w:val="24"/>
                    </w:rPr>
                    <w:t xml:space="preserve"> socioeconómica</w:t>
                  </w:r>
                  <w:r w:rsidRPr="053E65AD" w:rsidR="004B1EB3">
                    <w:rPr>
                      <w:rFonts w:ascii="Times New Roman" w:hAnsi="Times New Roman" w:eastAsia="Times New Roman" w:cs="Times New Roman"/>
                      <w:sz w:val="24"/>
                      <w:szCs w:val="24"/>
                    </w:rPr>
                    <w:t>, etc.</w:t>
                  </w:r>
                </w:p>
                <w:p w:rsidR="007519A7" w:rsidP="053E65AD" w:rsidRDefault="007519A7" w14:paraId="0661ECF0" w14:textId="119C5F62">
                  <w:pPr>
                    <w:pStyle w:val="NormalWeb"/>
                    <w:numPr>
                      <w:ilvl w:val="0"/>
                      <w:numId w:val="16"/>
                    </w:numPr>
                    <w:rPr>
                      <w:rFonts w:ascii="Times New Roman" w:hAnsi="Times New Roman" w:eastAsia="Times New Roman" w:cs="Times New Roman"/>
                      <w:sz w:val="24"/>
                      <w:szCs w:val="24"/>
                    </w:rPr>
                  </w:pPr>
                  <w:r w:rsidRPr="053E65AD" w:rsidR="007519A7">
                    <w:rPr>
                      <w:rStyle w:val="Textoennegrita"/>
                      <w:rFonts w:ascii="Times New Roman" w:hAnsi="Times New Roman" w:eastAsia="Times New Roman" w:cs="Times New Roman"/>
                      <w:sz w:val="24"/>
                      <w:szCs w:val="24"/>
                    </w:rPr>
                    <w:t>El Papel de las Tecnologías Digitales en la Configuración de Subjetividades Resistentes:</w:t>
                  </w:r>
                  <w:r>
                    <w:br/>
                  </w:r>
                  <w:r w:rsidRPr="053E65AD" w:rsidR="007519A7">
                    <w:rPr>
                      <w:rFonts w:ascii="Times New Roman" w:hAnsi="Times New Roman" w:eastAsia="Times New Roman" w:cs="Times New Roman"/>
                      <w:sz w:val="24"/>
                      <w:szCs w:val="24"/>
                    </w:rPr>
                    <w:t>Estudio sobre cómo las redes sociales y otras plataformas digitales facilitan la construcción de subjetividades políticas y estrategias de resistencia frente a estructuras opresivas.</w:t>
                  </w:r>
                </w:p>
                <w:p w:rsidR="007519A7" w:rsidP="053E65AD" w:rsidRDefault="007519A7" w14:paraId="182A4752" w14:textId="275251A4">
                  <w:pPr>
                    <w:pStyle w:val="NormalWeb"/>
                    <w:numPr>
                      <w:ilvl w:val="0"/>
                      <w:numId w:val="16"/>
                    </w:numPr>
                    <w:rPr>
                      <w:rFonts w:ascii="Times New Roman" w:hAnsi="Times New Roman" w:eastAsia="Times New Roman" w:cs="Times New Roman"/>
                      <w:sz w:val="24"/>
                      <w:szCs w:val="24"/>
                    </w:rPr>
                  </w:pPr>
                  <w:r w:rsidRPr="053E65AD" w:rsidR="007519A7">
                    <w:rPr>
                      <w:rStyle w:val="Textoennegrita"/>
                      <w:rFonts w:ascii="Times New Roman" w:hAnsi="Times New Roman" w:eastAsia="Times New Roman" w:cs="Times New Roman"/>
                      <w:sz w:val="24"/>
                      <w:szCs w:val="24"/>
                    </w:rPr>
                    <w:t>Representaciones</w:t>
                  </w:r>
                  <w:r w:rsidRPr="053E65AD" w:rsidR="007519A7">
                    <w:rPr>
                      <w:rStyle w:val="Textoennegrita"/>
                      <w:rFonts w:ascii="Times New Roman" w:hAnsi="Times New Roman" w:eastAsia="Times New Roman" w:cs="Times New Roman"/>
                      <w:sz w:val="24"/>
                      <w:szCs w:val="24"/>
                    </w:rPr>
                    <w:t xml:space="preserve"> Sociales y Subjetividades en Movimientos Sociales Contemporáneos:</w:t>
                  </w:r>
                  <w:r>
                    <w:br/>
                  </w:r>
                  <w:r w:rsidRPr="053E65AD" w:rsidR="007519A7">
                    <w:rPr>
                      <w:rFonts w:ascii="Times New Roman" w:hAnsi="Times New Roman" w:eastAsia="Times New Roman" w:cs="Times New Roman"/>
                      <w:sz w:val="24"/>
                      <w:szCs w:val="24"/>
                    </w:rPr>
                    <w:t>Análisis de las trayectorias de movimientos sociales que han logrado resignificar la identidad política y fomentar prácticas de resistencia y empoderamiento colectivo.</w:t>
                  </w:r>
                </w:p>
                <w:p w:rsidRPr="007519A7" w:rsidR="00691BE8" w:rsidP="053E65AD" w:rsidRDefault="00691BE8" w14:paraId="5630AD66" w14:textId="77777777" w14:noSpellErr="1">
                  <w:pPr>
                    <w:rPr>
                      <w:rFonts w:ascii="Times New Roman" w:hAnsi="Times New Roman" w:eastAsia="Times New Roman" w:cs="Times New Roman"/>
                      <w:sz w:val="24"/>
                      <w:szCs w:val="24"/>
                    </w:rPr>
                  </w:pPr>
                </w:p>
              </w:tc>
            </w:tr>
            <w:tr w:rsidRPr="00126B90" w:rsidR="003721F3" w:rsidTr="423DC7A3" w14:paraId="0D850309" w14:textId="77777777">
              <w:trPr>
                <w:trHeight w:val="20"/>
              </w:trPr>
              <w:tc>
                <w:tcPr>
                  <w:tcW w:w="9087" w:type="dxa"/>
                  <w:tcBorders>
                    <w:left w:val="nil"/>
                    <w:right w:val="nil"/>
                  </w:tcBorders>
                  <w:tcMar/>
                  <w:vAlign w:val="center"/>
                </w:tcPr>
                <w:p w:rsidRPr="00126B90" w:rsidR="003721F3" w:rsidP="053E65AD" w:rsidRDefault="003721F3" w14:paraId="61829076" w14:textId="77777777" w14:noSpellErr="1">
                  <w:pPr>
                    <w:rPr>
                      <w:rFonts w:ascii="Times New Roman" w:hAnsi="Times New Roman" w:eastAsia="Times New Roman" w:cs="Times New Roman"/>
                      <w:sz w:val="24"/>
                      <w:szCs w:val="24"/>
                      <w:lang w:val="es-ES"/>
                    </w:rPr>
                  </w:pPr>
                </w:p>
                <w:p w:rsidRPr="00126B90" w:rsidR="003721F3" w:rsidP="053E65AD" w:rsidRDefault="003721F3" w14:paraId="2E3527A4" w14:textId="77777777" w14:noSpellErr="1">
                  <w:pPr>
                    <w:rPr>
                      <w:rFonts w:ascii="Times New Roman" w:hAnsi="Times New Roman" w:eastAsia="Times New Roman" w:cs="Times New Roman"/>
                      <w:sz w:val="24"/>
                      <w:szCs w:val="24"/>
                      <w:lang w:val="es-ES"/>
                    </w:rPr>
                  </w:pPr>
                  <w:r w:rsidRPr="053E65AD" w:rsidR="003721F3">
                    <w:rPr>
                      <w:rFonts w:ascii="Times New Roman" w:hAnsi="Times New Roman" w:eastAsia="Times New Roman" w:cs="Times New Roman"/>
                      <w:sz w:val="24"/>
                      <w:szCs w:val="24"/>
                      <w:lang w:val="es-ES"/>
                    </w:rPr>
                    <w:t>Identificación de grupos y pares afines en el área de interés</w:t>
                  </w:r>
                </w:p>
              </w:tc>
            </w:tr>
            <w:tr w:rsidRPr="007519A7" w:rsidR="003721F3" w:rsidTr="423DC7A3" w14:paraId="1D3E4B54" w14:textId="77777777">
              <w:trPr>
                <w:trHeight w:val="20"/>
              </w:trPr>
              <w:tc>
                <w:tcPr>
                  <w:tcW w:w="9087" w:type="dxa"/>
                  <w:tcBorders>
                    <w:bottom w:val="single" w:color="auto" w:sz="4" w:space="0"/>
                  </w:tcBorders>
                  <w:tcMar/>
                  <w:vAlign w:val="center"/>
                </w:tcPr>
                <w:p w:rsidR="00B01E48" w:rsidP="423DC7A3" w:rsidRDefault="00B01E48" w14:paraId="2BA226A1" w14:textId="6E0009AF">
                  <w:pPr>
                    <w:pStyle w:val="ListParagraph"/>
                    <w:numPr>
                      <w:ilvl w:val="0"/>
                      <w:numId w:val="17"/>
                    </w:numPr>
                    <w:ind/>
                    <w:rPr>
                      <w:rFonts w:ascii="Times New Roman" w:hAnsi="Times New Roman" w:eastAsia="Times New Roman" w:cs="Times New Roman"/>
                      <w:b w:val="0"/>
                      <w:bCs w:val="0"/>
                      <w:noProof w:val="0"/>
                      <w:color w:val="auto"/>
                      <w:sz w:val="24"/>
                      <w:szCs w:val="24"/>
                      <w:lang w:val="es-ES"/>
                    </w:rPr>
                  </w:pP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 xml:space="preserve">Grupo Interdisciplinario de Estudios de Género (GIEG). </w:t>
                  </w: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Unal</w:t>
                  </w:r>
                </w:p>
                <w:p w:rsidR="3C1BC000" w:rsidP="423DC7A3" w:rsidRDefault="3C1BC000" w14:paraId="5CDC4128" w14:textId="34A67A63">
                  <w:pPr>
                    <w:pStyle w:val="ListParagraph"/>
                    <w:numPr>
                      <w:ilvl w:val="0"/>
                      <w:numId w:val="17"/>
                    </w:numPr>
                    <w:rPr>
                      <w:rFonts w:ascii="Times New Roman" w:hAnsi="Times New Roman" w:eastAsia="Times New Roman" w:cs="Times New Roman"/>
                      <w:b w:val="0"/>
                      <w:bCs w:val="0"/>
                      <w:noProof w:val="0"/>
                      <w:color w:val="auto"/>
                      <w:sz w:val="24"/>
                      <w:szCs w:val="24"/>
                      <w:lang w:val="es-ES"/>
                    </w:rPr>
                  </w:pP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Centro de Investigaciones y Estudios de Género, Mujer y Sociedad</w:t>
                  </w: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 xml:space="preserve"> / Universidad del Valle </w:t>
                  </w:r>
                  <w:r w:rsidRPr="423DC7A3" w:rsidR="3C1BC000">
                    <w:rPr>
                      <w:rFonts w:ascii="Times New Roman" w:hAnsi="Times New Roman" w:eastAsia="Times New Roman" w:cs="Times New Roman"/>
                      <w:b w:val="0"/>
                      <w:bCs w:val="0"/>
                      <w:noProof w:val="0"/>
                      <w:color w:val="auto"/>
                      <w:sz w:val="24"/>
                      <w:szCs w:val="24"/>
                      <w:lang w:val="es-ES"/>
                    </w:rPr>
                    <w:t xml:space="preserve"> </w:t>
                  </w:r>
                </w:p>
                <w:p w:rsidR="3C1BC000" w:rsidP="423DC7A3" w:rsidRDefault="3C1BC000" w14:paraId="40F13C88" w14:textId="66B1B53B">
                  <w:pPr>
                    <w:pStyle w:val="ListParagraph"/>
                    <w:numPr>
                      <w:ilvl w:val="0"/>
                      <w:numId w:val="17"/>
                    </w:numPr>
                    <w:rPr>
                      <w:rFonts w:ascii="Times New Roman" w:hAnsi="Times New Roman" w:eastAsia="Times New Roman" w:cs="Times New Roman"/>
                      <w:b w:val="0"/>
                      <w:bCs w:val="0"/>
                      <w:noProof w:val="0"/>
                      <w:color w:val="auto"/>
                      <w:sz w:val="24"/>
                      <w:szCs w:val="24"/>
                      <w:lang w:val="es-ES"/>
                    </w:rPr>
                  </w:pPr>
                  <w:r w:rsidRPr="423DC7A3" w:rsidR="3C1BC000">
                    <w:rPr>
                      <w:rFonts w:ascii="Times New Roman" w:hAnsi="Times New Roman" w:eastAsia="Times New Roman" w:cs="Times New Roman"/>
                      <w:b w:val="0"/>
                      <w:bCs w:val="0"/>
                      <w:noProof w:val="0"/>
                      <w:color w:val="auto"/>
                      <w:sz w:val="24"/>
                      <w:szCs w:val="24"/>
                      <w:lang w:val="es-ES"/>
                    </w:rPr>
                    <w:t>Género, diversidad y desarrollo. Uniandes</w:t>
                  </w:r>
                </w:p>
                <w:p w:rsidR="3C1BC000" w:rsidP="423DC7A3" w:rsidRDefault="3C1BC000" w14:paraId="0A961401" w14:textId="325DDF3C">
                  <w:pPr>
                    <w:pStyle w:val="ListParagraph"/>
                    <w:numPr>
                      <w:ilvl w:val="0"/>
                      <w:numId w:val="17"/>
                    </w:numPr>
                    <w:rPr>
                      <w:rFonts w:ascii="Times New Roman" w:hAnsi="Times New Roman" w:eastAsia="Times New Roman" w:cs="Times New Roman"/>
                      <w:b w:val="0"/>
                      <w:bCs w:val="0"/>
                      <w:noProof w:val="0"/>
                      <w:color w:val="auto"/>
                      <w:sz w:val="24"/>
                      <w:szCs w:val="24"/>
                      <w:lang w:val="es-ES"/>
                    </w:rPr>
                  </w:pP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Grupo de investigación Género, Sexualidades y Reconocimiento, Universidad de Caldas</w:t>
                  </w:r>
                </w:p>
                <w:p w:rsidR="5C62B920" w:rsidP="423DC7A3" w:rsidRDefault="5C62B920" w14:paraId="600C5A4C" w14:textId="627B3D30">
                  <w:pPr>
                    <w:pStyle w:val="ListParagraph"/>
                    <w:numPr>
                      <w:ilvl w:val="0"/>
                      <w:numId w:val="17"/>
                    </w:numPr>
                    <w:rPr>
                      <w:rFonts w:ascii="Times New Roman" w:hAnsi="Times New Roman" w:eastAsia="Times New Roman" w:cs="Times New Roman"/>
                      <w:b w:val="0"/>
                      <w:bCs w:val="0"/>
                      <w:noProof w:val="0"/>
                      <w:color w:val="auto"/>
                      <w:sz w:val="24"/>
                      <w:szCs w:val="24"/>
                      <w:lang w:val="es-ES"/>
                    </w:rPr>
                  </w:pPr>
                  <w:r w:rsidRPr="423DC7A3" w:rsidR="5C62B920">
                    <w:rPr>
                      <w:rFonts w:ascii="Times New Roman" w:hAnsi="Times New Roman" w:eastAsia="Times New Roman" w:cs="Times New Roman"/>
                      <w:b w:val="0"/>
                      <w:bCs w:val="0"/>
                      <w:i w:val="0"/>
                      <w:iCs w:val="0"/>
                      <w:caps w:val="0"/>
                      <w:smallCaps w:val="0"/>
                      <w:noProof w:val="0"/>
                      <w:color w:val="auto"/>
                      <w:sz w:val="24"/>
                      <w:szCs w:val="24"/>
                      <w:lang w:val="es-ES"/>
                    </w:rPr>
                    <w:t xml:space="preserve">María Cristina Gómez. </w:t>
                  </w:r>
                  <w:r w:rsidRPr="423DC7A3" w:rsidR="5C62B920">
                    <w:rPr>
                      <w:rFonts w:ascii="Times New Roman" w:hAnsi="Times New Roman" w:eastAsia="Times New Roman" w:cs="Times New Roman"/>
                      <w:b w:val="0"/>
                      <w:bCs w:val="0"/>
                      <w:i w:val="0"/>
                      <w:iCs w:val="0"/>
                      <w:caps w:val="0"/>
                      <w:smallCaps w:val="0"/>
                      <w:noProof w:val="0"/>
                      <w:color w:val="auto"/>
                      <w:sz w:val="24"/>
                      <w:szCs w:val="24"/>
                      <w:lang w:val="es-ES"/>
                    </w:rPr>
                    <w:t>Ex directora</w:t>
                  </w:r>
                  <w:r w:rsidRPr="423DC7A3" w:rsidR="5C62B920">
                    <w:rPr>
                      <w:rFonts w:ascii="Times New Roman" w:hAnsi="Times New Roman" w:eastAsia="Times New Roman" w:cs="Times New Roman"/>
                      <w:b w:val="0"/>
                      <w:bCs w:val="0"/>
                      <w:i w:val="0"/>
                      <w:iCs w:val="0"/>
                      <w:caps w:val="0"/>
                      <w:smallCaps w:val="0"/>
                      <w:noProof w:val="0"/>
                      <w:color w:val="auto"/>
                      <w:sz w:val="24"/>
                      <w:szCs w:val="24"/>
                      <w:lang w:val="es-ES"/>
                    </w:rPr>
                    <w:t xml:space="preserve"> Doctorado en Derecho UdeA</w:t>
                  </w:r>
                </w:p>
                <w:p w:rsidR="5C62B920" w:rsidP="423DC7A3" w:rsidRDefault="5C62B920" w14:paraId="295CB046" w14:textId="3A098583">
                  <w:pPr>
                    <w:pStyle w:val="ListParagraph"/>
                    <w:numPr>
                      <w:ilvl w:val="0"/>
                      <w:numId w:val="17"/>
                    </w:numPr>
                    <w:rPr>
                      <w:rFonts w:ascii="Times New Roman" w:hAnsi="Times New Roman" w:eastAsia="Times New Roman" w:cs="Times New Roman"/>
                      <w:b w:val="0"/>
                      <w:bCs w:val="0"/>
                      <w:noProof w:val="0"/>
                      <w:color w:val="auto"/>
                      <w:sz w:val="24"/>
                      <w:szCs w:val="24"/>
                      <w:lang w:val="es-ES"/>
                    </w:rPr>
                  </w:pPr>
                  <w:r w:rsidRPr="423DC7A3" w:rsidR="5C62B920">
                    <w:rPr>
                      <w:rFonts w:ascii="Times New Roman" w:hAnsi="Times New Roman" w:eastAsia="Times New Roman" w:cs="Times New Roman"/>
                      <w:b w:val="0"/>
                      <w:bCs w:val="0"/>
                      <w:i w:val="0"/>
                      <w:iCs w:val="0"/>
                      <w:caps w:val="0"/>
                      <w:smallCaps w:val="0"/>
                      <w:noProof w:val="0"/>
                      <w:color w:val="auto"/>
                      <w:sz w:val="24"/>
                      <w:szCs w:val="24"/>
                      <w:lang w:val="es-ES"/>
                    </w:rPr>
                    <w:t>María Teresa Luna. Investigadora CINDE-Universidad de Manizales</w:t>
                  </w:r>
                </w:p>
                <w:p w:rsidR="3C1BC000" w:rsidP="423DC7A3" w:rsidRDefault="3C1BC000" w14:paraId="6AA0117A" w14:textId="18775CB7">
                  <w:pPr>
                    <w:pStyle w:val="ListParagraph"/>
                    <w:numPr>
                      <w:ilvl w:val="0"/>
                      <w:numId w:val="17"/>
                    </w:numPr>
                    <w:rPr>
                      <w:rFonts w:ascii="Times New Roman" w:hAnsi="Times New Roman" w:eastAsia="Times New Roman" w:cs="Times New Roman"/>
                      <w:b w:val="0"/>
                      <w:bCs w:val="0"/>
                      <w:i w:val="0"/>
                      <w:iCs w:val="0"/>
                      <w:caps w:val="0"/>
                      <w:smallCaps w:val="0"/>
                      <w:noProof w:val="0"/>
                      <w:color w:val="auto"/>
                      <w:sz w:val="24"/>
                      <w:szCs w:val="24"/>
                      <w:lang w:val="es-ES"/>
                    </w:rPr>
                  </w:pP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 xml:space="preserve">Catalina Pérez. Decana Facultad de Derecho USB </w:t>
                  </w: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Med</w:t>
                  </w: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 Investigadora asuntos de género</w:t>
                  </w:r>
                  <w:r w:rsidRPr="423DC7A3" w:rsidR="3C1BC000">
                    <w:rPr>
                      <w:rFonts w:ascii="Times New Roman" w:hAnsi="Times New Roman" w:eastAsia="Times New Roman" w:cs="Times New Roman"/>
                      <w:b w:val="0"/>
                      <w:bCs w:val="0"/>
                      <w:i w:val="0"/>
                      <w:iCs w:val="0"/>
                      <w:caps w:val="0"/>
                      <w:smallCaps w:val="0"/>
                      <w:noProof w:val="0"/>
                      <w:color w:val="auto"/>
                      <w:sz w:val="24"/>
                      <w:szCs w:val="24"/>
                      <w:lang w:val="es-ES"/>
                    </w:rPr>
                    <w:t xml:space="preserve"> </w:t>
                  </w:r>
                </w:p>
                <w:p w:rsidRPr="00B01E48" w:rsidR="00691BE8" w:rsidP="423DC7A3" w:rsidRDefault="00691BE8" w14:paraId="17AD93B2" w14:textId="77777777" w14:noSpellErr="1">
                  <w:pPr>
                    <w:ind w:left="709"/>
                    <w:rPr>
                      <w:rFonts w:ascii="Times New Roman" w:hAnsi="Times New Roman" w:eastAsia="Times New Roman" w:cs="Times New Roman"/>
                      <w:sz w:val="24"/>
                      <w:szCs w:val="24"/>
                      <w:lang w:val="en-US"/>
                    </w:rPr>
                  </w:pPr>
                </w:p>
              </w:tc>
            </w:tr>
          </w:tbl>
          <w:p w:rsidR="003721F3" w:rsidP="053E65AD" w:rsidRDefault="003721F3" w14:paraId="0DE4B5B7" w14:textId="7AE4FFBF" w14:noSpellErr="1">
            <w:pPr>
              <w:widowControl w:val="1"/>
              <w:suppressAutoHyphens w:val="0"/>
              <w:jc w:val="both"/>
              <w:rPr>
                <w:rFonts w:ascii="Times New Roman" w:hAnsi="Times New Roman" w:eastAsia="Times New Roman" w:cs="Times New Roman"/>
                <w:sz w:val="24"/>
                <w:szCs w:val="24"/>
                <w:lang w:val="en-US"/>
              </w:rPr>
            </w:pPr>
          </w:p>
          <w:p w:rsidR="00B01E48" w:rsidP="053E65AD" w:rsidRDefault="004B1EB3" w14:paraId="66204FF1" w14:textId="1709C0C8" w14:noSpellErr="1">
            <w:pPr>
              <w:widowControl w:val="1"/>
              <w:suppressAutoHyphens w:val="0"/>
              <w:jc w:val="both"/>
              <w:rPr>
                <w:rFonts w:ascii="Times New Roman" w:hAnsi="Times New Roman" w:eastAsia="Times New Roman" w:cs="Times New Roman"/>
                <w:sz w:val="24"/>
                <w:szCs w:val="24"/>
                <w:lang w:val="en-US"/>
              </w:rPr>
            </w:pPr>
            <w:r>
              <w:rPr>
                <w:rFonts w:eastAsia="Times New Roman" w:cs="Times New Roman"/>
                <w:noProof/>
                <w:lang w:val="en-US"/>
              </w:rPr>
              <w:drawing>
                <wp:anchor distT="0" distB="0" distL="114300" distR="114300" simplePos="0" relativeHeight="251658240" behindDoc="1" locked="0" layoutInCell="1" allowOverlap="1" wp14:anchorId="278C82E5" wp14:editId="5845C8BD">
                  <wp:simplePos x="0" y="0"/>
                  <wp:positionH relativeFrom="column">
                    <wp:posOffset>3175</wp:posOffset>
                  </wp:positionH>
                  <wp:positionV relativeFrom="paragraph">
                    <wp:posOffset>9525</wp:posOffset>
                  </wp:positionV>
                  <wp:extent cx="1432560" cy="1409065"/>
                  <wp:effectExtent l="0" t="0" r="0" b="0"/>
                  <wp:wrapNone/>
                  <wp:docPr id="858386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86429" name="Imagen 8583864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1409065"/>
                          </a:xfrm>
                          <a:prstGeom prst="rect">
                            <a:avLst/>
                          </a:prstGeom>
                        </pic:spPr>
                      </pic:pic>
                    </a:graphicData>
                  </a:graphic>
                  <wp14:sizeRelH relativeFrom="page">
                    <wp14:pctWidth>0</wp14:pctWidth>
                  </wp14:sizeRelH>
                  <wp14:sizeRelV relativeFrom="page">
                    <wp14:pctHeight>0</wp14:pctHeight>
                  </wp14:sizeRelV>
                </wp:anchor>
              </w:drawing>
            </w:r>
          </w:p>
          <w:p w:rsidR="00B01E48" w:rsidP="053E65AD" w:rsidRDefault="00B01E48" w14:paraId="680A4E5D" w14:textId="265B1648" w14:noSpellErr="1">
            <w:pPr>
              <w:widowControl w:val="1"/>
              <w:suppressAutoHyphens w:val="0"/>
              <w:jc w:val="both"/>
              <w:rPr>
                <w:rFonts w:ascii="Times New Roman" w:hAnsi="Times New Roman" w:eastAsia="Times New Roman" w:cs="Times New Roman"/>
                <w:sz w:val="24"/>
                <w:szCs w:val="24"/>
                <w:lang w:val="en-US"/>
              </w:rPr>
            </w:pPr>
          </w:p>
          <w:p w:rsidRPr="00B01E48" w:rsidR="00B01E48" w:rsidP="053E65AD" w:rsidRDefault="00B01E48" w14:paraId="19219836" w14:textId="44D73C2D" w14:noSpellErr="1">
            <w:pPr>
              <w:widowControl w:val="1"/>
              <w:suppressAutoHyphens w:val="0"/>
              <w:jc w:val="both"/>
              <w:rPr>
                <w:rFonts w:ascii="Times New Roman" w:hAnsi="Times New Roman" w:eastAsia="Times New Roman" w:cs="Times New Roman"/>
                <w:sz w:val="24"/>
                <w:szCs w:val="24"/>
                <w:lang w:val="en-US"/>
              </w:rPr>
            </w:pPr>
          </w:p>
          <w:p w:rsidRPr="007519A7" w:rsidR="003721F3" w:rsidP="053E65AD" w:rsidRDefault="003721F3" w14:paraId="29D6B04F" w14:textId="77777777" w14:noSpellErr="1">
            <w:pPr>
              <w:widowControl w:val="1"/>
              <w:suppressAutoHyphens w:val="0"/>
              <w:jc w:val="both"/>
              <w:rPr>
                <w:rFonts w:ascii="Times New Roman" w:hAnsi="Times New Roman" w:eastAsia="Times New Roman" w:cs="Times New Roman"/>
                <w:sz w:val="24"/>
                <w:szCs w:val="24"/>
              </w:rPr>
            </w:pPr>
            <w:r w:rsidRPr="053E65AD" w:rsidR="003721F3">
              <w:rPr>
                <w:rFonts w:ascii="Times New Roman" w:hAnsi="Times New Roman" w:eastAsia="Times New Roman" w:cs="Times New Roman"/>
                <w:sz w:val="24"/>
                <w:szCs w:val="24"/>
              </w:rPr>
              <w:t xml:space="preserve"> </w:t>
            </w:r>
          </w:p>
          <w:p w:rsidRPr="004B1EB3" w:rsidR="004B1EB3" w:rsidP="053E65AD" w:rsidRDefault="004B1EB3" w14:paraId="272C7DBB" w14:textId="77777777" w14:noSpellErr="1">
            <w:pPr>
              <w:rPr>
                <w:rFonts w:ascii="Times New Roman" w:hAnsi="Times New Roman" w:eastAsia="Times New Roman" w:cs="Times New Roman"/>
                <w:b w:val="1"/>
                <w:bCs w:val="1"/>
                <w:sz w:val="24"/>
                <w:szCs w:val="24"/>
              </w:rPr>
            </w:pPr>
            <w:r w:rsidRPr="053E65AD" w:rsidR="004B1EB3">
              <w:rPr>
                <w:rFonts w:ascii="Times New Roman" w:hAnsi="Times New Roman" w:eastAsia="Times New Roman" w:cs="Times New Roman"/>
                <w:b w:val="1"/>
                <w:bCs w:val="1"/>
                <w:sz w:val="24"/>
                <w:szCs w:val="24"/>
              </w:rPr>
              <w:t>DIANA PATRICIA RESTREPO RUIZ</w:t>
            </w:r>
          </w:p>
          <w:p w:rsidRPr="00126B90" w:rsidR="003721F3" w:rsidP="053E65AD" w:rsidRDefault="006501E2" w14:paraId="0449571F" w14:textId="3695AD77" w14:noSpellErr="1">
            <w:pPr>
              <w:rPr>
                <w:rFonts w:ascii="Times New Roman" w:hAnsi="Times New Roman" w:eastAsia="Times New Roman" w:cs="Times New Roman"/>
                <w:sz w:val="24"/>
                <w:szCs w:val="24"/>
              </w:rPr>
            </w:pPr>
            <w:r w:rsidRPr="053E65AD" w:rsidR="006501E2">
              <w:rPr>
                <w:rFonts w:ascii="Times New Roman" w:hAnsi="Times New Roman" w:eastAsia="Times New Roman" w:cs="Times New Roman"/>
                <w:sz w:val="24"/>
                <w:szCs w:val="24"/>
              </w:rPr>
              <w:t>Coordinador</w:t>
            </w:r>
            <w:r w:rsidRPr="053E65AD" w:rsidR="004B1EB3">
              <w:rPr>
                <w:rFonts w:ascii="Times New Roman" w:hAnsi="Times New Roman" w:eastAsia="Times New Roman" w:cs="Times New Roman"/>
                <w:sz w:val="24"/>
                <w:szCs w:val="24"/>
              </w:rPr>
              <w:t>a de línea</w:t>
            </w:r>
            <w:r w:rsidRPr="053E65AD" w:rsidR="003721F3">
              <w:rPr>
                <w:rFonts w:ascii="Times New Roman" w:hAnsi="Times New Roman" w:eastAsia="Times New Roman" w:cs="Times New Roman"/>
                <w:sz w:val="24"/>
                <w:szCs w:val="24"/>
              </w:rPr>
              <w:t xml:space="preserve"> </w:t>
            </w:r>
            <w:r w:rsidRPr="053E65AD" w:rsidR="006501E2">
              <w:rPr>
                <w:rFonts w:ascii="Times New Roman" w:hAnsi="Times New Roman" w:eastAsia="Times New Roman" w:cs="Times New Roman"/>
                <w:sz w:val="24"/>
                <w:szCs w:val="24"/>
              </w:rPr>
              <w:t xml:space="preserve">    </w:t>
            </w:r>
          </w:p>
          <w:p w:rsidRPr="00126B90" w:rsidR="003721F3" w:rsidP="053E65AD" w:rsidRDefault="00230CB9" w14:paraId="7735E91F" w14:textId="127FDA74" w14:noSpellErr="1">
            <w:pPr>
              <w:rPr>
                <w:rFonts w:ascii="Times New Roman" w:hAnsi="Times New Roman" w:eastAsia="Times New Roman" w:cs="Times New Roman"/>
                <w:sz w:val="24"/>
                <w:szCs w:val="24"/>
                <w:lang w:val="es-ES"/>
              </w:rPr>
            </w:pPr>
            <w:r w:rsidRPr="053E65AD" w:rsidR="00230CB9">
              <w:rPr>
                <w:rFonts w:ascii="Times New Roman" w:hAnsi="Times New Roman" w:eastAsia="Times New Roman" w:cs="Times New Roman"/>
                <w:sz w:val="24"/>
                <w:szCs w:val="24"/>
              </w:rPr>
              <w:t xml:space="preserve">Fecha: </w:t>
            </w:r>
            <w:r w:rsidRPr="053E65AD" w:rsidR="004B1EB3">
              <w:rPr>
                <w:rFonts w:ascii="Times New Roman" w:hAnsi="Times New Roman" w:eastAsia="Times New Roman" w:cs="Times New Roman"/>
                <w:sz w:val="24"/>
                <w:szCs w:val="24"/>
              </w:rPr>
              <w:t>febrero de 2025</w:t>
            </w:r>
          </w:p>
        </w:tc>
      </w:tr>
    </w:tbl>
    <w:p w:rsidR="00B01E48" w:rsidP="053E65AD" w:rsidRDefault="00B01E48" w14:paraId="54CD245A" w14:noSpellErr="1" w14:textId="5C2E595F">
      <w:pPr>
        <w:pStyle w:val="Normal"/>
        <w:rPr>
          <w:rFonts w:eastAsia="Times New Roman" w:cs="Times New Roman"/>
        </w:rPr>
      </w:pPr>
    </w:p>
    <w:p w:rsidR="00B01E48" w:rsidP="345FD012" w:rsidRDefault="00B01E48" w14:paraId="48A21919" w14:textId="77777777">
      <w:pPr>
        <w:rPr>
          <w:rFonts w:eastAsia="Times New Roman" w:cs="Times New Roman"/>
        </w:rPr>
      </w:pPr>
    </w:p>
    <w:p w:rsidR="00B01E48" w:rsidP="345FD012" w:rsidRDefault="00B01E48" w14:paraId="6BD18F9B" w14:textId="77777777">
      <w:pPr>
        <w:rPr>
          <w:rFonts w:eastAsia="Times New Roman" w:cs="Times New Roman"/>
        </w:rPr>
      </w:pPr>
    </w:p>
    <w:p w:rsidR="00B01E48" w:rsidP="345FD012" w:rsidRDefault="00B01E48" w14:paraId="238601FE" w14:textId="77777777">
      <w:pPr>
        <w:rPr>
          <w:rFonts w:eastAsia="Times New Roman" w:cs="Times New Roman"/>
        </w:rPr>
      </w:pPr>
    </w:p>
    <w:p w:rsidRPr="00145F68" w:rsidR="00CA042F" w:rsidP="00145F68" w:rsidRDefault="00B01E48" w14:paraId="7482B2AE" w14:textId="31972FBB">
      <w:pPr>
        <w:jc w:val="center"/>
        <w:rPr>
          <w:rFonts w:eastAsia="Times New Roman" w:cs="Times New Roman"/>
          <w:b/>
          <w:bCs/>
        </w:rPr>
      </w:pPr>
      <w:r w:rsidRPr="00145F68">
        <w:rPr>
          <w:rFonts w:eastAsia="Times New Roman" w:cs="Times New Roman"/>
          <w:b/>
          <w:bCs/>
        </w:rPr>
        <w:t>Bibliografía:</w:t>
      </w:r>
    </w:p>
    <w:p w:rsidRPr="00CA042F" w:rsidR="00887FF8" w:rsidP="345FD012" w:rsidRDefault="00887FF8" w14:paraId="5B08B5D1" w14:textId="77777777">
      <w:pPr>
        <w:ind w:left="709" w:hanging="709"/>
        <w:jc w:val="both"/>
        <w:rPr>
          <w:rFonts w:eastAsia="Times New Roman" w:cs="Times New Roman"/>
        </w:rPr>
      </w:pPr>
    </w:p>
    <w:p w:rsidR="00CA042F" w:rsidP="00CA042F" w:rsidRDefault="00CA042F" w14:paraId="7B3FA3AB" w14:textId="77777777">
      <w:pPr>
        <w:ind w:left="709" w:hanging="709"/>
        <w:jc w:val="both"/>
        <w:rPr>
          <w:rFonts w:eastAsia="Times New Roman" w:cs="Times New Roman"/>
        </w:rPr>
      </w:pPr>
      <w:r w:rsidRPr="00CA042F">
        <w:rPr>
          <w:rFonts w:eastAsia="Times New Roman" w:cs="Times New Roman"/>
        </w:rPr>
        <w:t xml:space="preserve">Agamben, Giorgio, (2011), “¿Qué es un dispositivo?, en: </w:t>
      </w:r>
      <w:r w:rsidRPr="00CA042F">
        <w:rPr>
          <w:rFonts w:eastAsia="Times New Roman" w:cs="Times New Roman"/>
          <w:i/>
          <w:iCs/>
        </w:rPr>
        <w:t xml:space="preserve">Sociología, </w:t>
      </w:r>
      <w:r w:rsidRPr="00CA042F">
        <w:rPr>
          <w:rFonts w:eastAsia="Times New Roman" w:cs="Times New Roman"/>
        </w:rPr>
        <w:t>año 26, número 73,</w:t>
      </w:r>
      <w:r>
        <w:rPr>
          <w:rFonts w:eastAsia="Times New Roman" w:cs="Times New Roman"/>
        </w:rPr>
        <w:t xml:space="preserve"> </w:t>
      </w:r>
      <w:r w:rsidRPr="00CA042F">
        <w:rPr>
          <w:rFonts w:eastAsia="Times New Roman" w:cs="Times New Roman"/>
        </w:rPr>
        <w:t>mayo-agosto.</w:t>
      </w:r>
    </w:p>
    <w:p w:rsidRPr="00CA042F" w:rsidR="00CA042F" w:rsidP="00CA042F" w:rsidRDefault="00CA042F" w14:paraId="41B46966" w14:textId="1212729C">
      <w:pPr>
        <w:ind w:left="709" w:hanging="709"/>
        <w:jc w:val="both"/>
        <w:rPr>
          <w:rFonts w:eastAsia="Times New Roman" w:cs="Times New Roman"/>
        </w:rPr>
      </w:pPr>
      <w:r w:rsidRPr="00CA042F">
        <w:rPr>
          <w:rFonts w:eastAsia="Times New Roman" w:cs="Times New Roman"/>
        </w:rPr>
        <w:t xml:space="preserve">Bento, Berenice (2006), </w:t>
      </w:r>
      <w:r w:rsidRPr="00CA042F">
        <w:rPr>
          <w:rFonts w:eastAsia="Times New Roman" w:cs="Times New Roman"/>
          <w:i/>
          <w:iCs/>
        </w:rPr>
        <w:t xml:space="preserve">A </w:t>
      </w:r>
      <w:proofErr w:type="spellStart"/>
      <w:r w:rsidRPr="00CA042F">
        <w:rPr>
          <w:rFonts w:eastAsia="Times New Roman" w:cs="Times New Roman"/>
          <w:i/>
          <w:iCs/>
        </w:rPr>
        <w:t>reinven</w:t>
      </w:r>
      <w:r w:rsidRPr="00CA042F">
        <w:rPr>
          <w:rFonts w:eastAsia="Times New Roman" w:cs="Times New Roman"/>
        </w:rPr>
        <w:t>çã</w:t>
      </w:r>
      <w:r w:rsidRPr="00CA042F">
        <w:rPr>
          <w:rFonts w:eastAsia="Times New Roman" w:cs="Times New Roman"/>
          <w:i/>
          <w:iCs/>
        </w:rPr>
        <w:t>o</w:t>
      </w:r>
      <w:proofErr w:type="spellEnd"/>
      <w:r w:rsidRPr="00CA042F">
        <w:rPr>
          <w:rFonts w:eastAsia="Times New Roman" w:cs="Times New Roman"/>
          <w:i/>
          <w:iCs/>
        </w:rPr>
        <w:t xml:space="preserve"> do </w:t>
      </w:r>
      <w:proofErr w:type="spellStart"/>
      <w:r w:rsidRPr="00CA042F">
        <w:rPr>
          <w:rFonts w:eastAsia="Times New Roman" w:cs="Times New Roman"/>
          <w:i/>
          <w:iCs/>
        </w:rPr>
        <w:t>corpo</w:t>
      </w:r>
      <w:proofErr w:type="spellEnd"/>
      <w:r w:rsidRPr="00CA042F">
        <w:rPr>
          <w:rFonts w:eastAsia="Times New Roman" w:cs="Times New Roman"/>
          <w:i/>
          <w:iCs/>
        </w:rPr>
        <w:t xml:space="preserve">: </w:t>
      </w:r>
      <w:proofErr w:type="spellStart"/>
      <w:r w:rsidRPr="00CA042F">
        <w:rPr>
          <w:rFonts w:eastAsia="Times New Roman" w:cs="Times New Roman"/>
          <w:i/>
          <w:iCs/>
        </w:rPr>
        <w:t>sexualidade</w:t>
      </w:r>
      <w:proofErr w:type="spellEnd"/>
      <w:r w:rsidRPr="00CA042F">
        <w:rPr>
          <w:rFonts w:eastAsia="Times New Roman" w:cs="Times New Roman"/>
          <w:i/>
          <w:iCs/>
        </w:rPr>
        <w:t xml:space="preserve"> e </w:t>
      </w:r>
      <w:proofErr w:type="spellStart"/>
      <w:r w:rsidRPr="00CA042F">
        <w:rPr>
          <w:rFonts w:eastAsia="Times New Roman" w:cs="Times New Roman"/>
          <w:i/>
          <w:iCs/>
        </w:rPr>
        <w:t>g</w:t>
      </w:r>
      <w:r w:rsidRPr="00CA042F">
        <w:rPr>
          <w:rFonts w:eastAsia="Times New Roman" w:cs="Times New Roman"/>
        </w:rPr>
        <w:t>ê</w:t>
      </w:r>
      <w:r w:rsidRPr="00CA042F">
        <w:rPr>
          <w:rFonts w:eastAsia="Times New Roman" w:cs="Times New Roman"/>
          <w:i/>
          <w:iCs/>
        </w:rPr>
        <w:t>nero</w:t>
      </w:r>
      <w:proofErr w:type="spellEnd"/>
      <w:r w:rsidRPr="00CA042F">
        <w:rPr>
          <w:rFonts w:eastAsia="Times New Roman" w:cs="Times New Roman"/>
          <w:i/>
          <w:iCs/>
        </w:rPr>
        <w:t xml:space="preserve"> </w:t>
      </w:r>
      <w:proofErr w:type="spellStart"/>
      <w:r w:rsidRPr="00CA042F">
        <w:rPr>
          <w:rFonts w:eastAsia="Times New Roman" w:cs="Times New Roman"/>
          <w:i/>
          <w:iCs/>
        </w:rPr>
        <w:t>na</w:t>
      </w:r>
      <w:proofErr w:type="spellEnd"/>
      <w:r w:rsidRPr="00CA042F">
        <w:rPr>
          <w:rFonts w:eastAsia="Times New Roman" w:cs="Times New Roman"/>
          <w:i/>
          <w:iCs/>
        </w:rPr>
        <w:t xml:space="preserve"> experiencia</w:t>
      </w:r>
      <w:r>
        <w:rPr>
          <w:rFonts w:eastAsia="Times New Roman" w:cs="Times New Roman"/>
        </w:rPr>
        <w:t xml:space="preserve"> </w:t>
      </w:r>
      <w:r w:rsidRPr="00CA042F">
        <w:rPr>
          <w:rFonts w:eastAsia="Times New Roman" w:cs="Times New Roman"/>
          <w:i/>
          <w:iCs/>
        </w:rPr>
        <w:t xml:space="preserve">transexual, </w:t>
      </w:r>
      <w:r w:rsidRPr="00CA042F">
        <w:rPr>
          <w:rFonts w:eastAsia="Times New Roman" w:cs="Times New Roman"/>
        </w:rPr>
        <w:t xml:space="preserve">Rio de Janeiro, </w:t>
      </w:r>
      <w:proofErr w:type="spellStart"/>
      <w:r w:rsidRPr="00CA042F">
        <w:rPr>
          <w:rFonts w:eastAsia="Times New Roman" w:cs="Times New Roman"/>
        </w:rPr>
        <w:t>Baramond</w:t>
      </w:r>
      <w:proofErr w:type="spellEnd"/>
      <w:r w:rsidRPr="00CA042F">
        <w:rPr>
          <w:rFonts w:eastAsia="Times New Roman" w:cs="Times New Roman"/>
        </w:rPr>
        <w:t>.</w:t>
      </w:r>
    </w:p>
    <w:p w:rsidR="00CA042F" w:rsidP="00CA042F" w:rsidRDefault="00CA042F" w14:paraId="0E6B38D8" w14:textId="77777777">
      <w:pPr>
        <w:ind w:left="709" w:hanging="709"/>
        <w:jc w:val="both"/>
        <w:rPr>
          <w:rFonts w:eastAsia="Times New Roman" w:cs="Times New Roman"/>
        </w:rPr>
      </w:pPr>
      <w:r w:rsidRPr="00CA042F">
        <w:rPr>
          <w:rFonts w:eastAsia="Times New Roman" w:cs="Times New Roman"/>
        </w:rPr>
        <w:t xml:space="preserve">Butler, Judith (2002) </w:t>
      </w:r>
      <w:r w:rsidRPr="00CA042F">
        <w:rPr>
          <w:rFonts w:eastAsia="Times New Roman" w:cs="Times New Roman"/>
          <w:i/>
          <w:iCs/>
        </w:rPr>
        <w:t>Cuerpos que importan</w:t>
      </w:r>
      <w:r w:rsidRPr="00CA042F">
        <w:rPr>
          <w:rFonts w:eastAsia="Times New Roman" w:cs="Times New Roman"/>
        </w:rPr>
        <w:t xml:space="preserve">. </w:t>
      </w:r>
      <w:r w:rsidRPr="00CA042F">
        <w:rPr>
          <w:rFonts w:eastAsia="Times New Roman" w:cs="Times New Roman"/>
          <w:i/>
          <w:iCs/>
        </w:rPr>
        <w:t>Sobre los límites materiales y discursivos del</w:t>
      </w:r>
      <w:r>
        <w:rPr>
          <w:rFonts w:eastAsia="Times New Roman" w:cs="Times New Roman"/>
        </w:rPr>
        <w:t xml:space="preserve"> </w:t>
      </w:r>
      <w:r w:rsidRPr="00CA042F">
        <w:rPr>
          <w:rFonts w:eastAsia="Times New Roman" w:cs="Times New Roman"/>
          <w:i/>
          <w:iCs/>
        </w:rPr>
        <w:t>“sexo”</w:t>
      </w:r>
      <w:r w:rsidRPr="00CA042F">
        <w:rPr>
          <w:rFonts w:eastAsia="Times New Roman" w:cs="Times New Roman"/>
        </w:rPr>
        <w:t>, Paidós, Argentina.</w:t>
      </w:r>
    </w:p>
    <w:p w:rsidR="00CA042F" w:rsidP="00CA042F" w:rsidRDefault="00CA042F" w14:paraId="6D721C86" w14:textId="77777777">
      <w:pPr>
        <w:ind w:left="709" w:hanging="709"/>
        <w:jc w:val="both"/>
        <w:rPr>
          <w:rFonts w:eastAsia="Times New Roman" w:cs="Times New Roman"/>
        </w:rPr>
      </w:pPr>
      <w:r w:rsidRPr="00CA042F">
        <w:rPr>
          <w:rFonts w:eastAsia="Times New Roman" w:cs="Times New Roman"/>
        </w:rPr>
        <w:t>Castañeda Salgado, Martha Patricia (2016) “Epistemología y metodología feminista:</w:t>
      </w:r>
      <w:r>
        <w:rPr>
          <w:rFonts w:eastAsia="Times New Roman" w:cs="Times New Roman"/>
        </w:rPr>
        <w:t xml:space="preserve"> </w:t>
      </w:r>
      <w:r w:rsidRPr="00CA042F">
        <w:rPr>
          <w:rFonts w:eastAsia="Times New Roman" w:cs="Times New Roman"/>
        </w:rPr>
        <w:t xml:space="preserve">debates teóricos”, en: </w:t>
      </w:r>
      <w:r w:rsidRPr="00CA042F">
        <w:rPr>
          <w:rFonts w:eastAsia="Times New Roman" w:cs="Times New Roman"/>
          <w:i/>
          <w:iCs/>
        </w:rPr>
        <w:t>El campo teórico feminista: aportes epistemológicos y</w:t>
      </w:r>
      <w:r>
        <w:rPr>
          <w:rFonts w:eastAsia="Times New Roman" w:cs="Times New Roman"/>
        </w:rPr>
        <w:t xml:space="preserve"> </w:t>
      </w:r>
      <w:r w:rsidRPr="00CA042F">
        <w:rPr>
          <w:rFonts w:eastAsia="Times New Roman" w:cs="Times New Roman"/>
          <w:i/>
          <w:iCs/>
        </w:rPr>
        <w:t>metodológicos/</w:t>
      </w:r>
      <w:r w:rsidRPr="00CA042F">
        <w:rPr>
          <w:rFonts w:eastAsia="Times New Roman" w:cs="Times New Roman"/>
        </w:rPr>
        <w:t xml:space="preserve"> María Elena </w:t>
      </w:r>
      <w:proofErr w:type="spellStart"/>
      <w:r w:rsidRPr="00CA042F">
        <w:rPr>
          <w:rFonts w:eastAsia="Times New Roman" w:cs="Times New Roman"/>
        </w:rPr>
        <w:t>Jarquin</w:t>
      </w:r>
      <w:proofErr w:type="spellEnd"/>
      <w:r w:rsidRPr="00CA042F">
        <w:rPr>
          <w:rFonts w:eastAsia="Times New Roman" w:cs="Times New Roman"/>
        </w:rPr>
        <w:t xml:space="preserve"> Sánchez (coordinadora). Colección diversidad</w:t>
      </w:r>
      <w:r>
        <w:rPr>
          <w:rFonts w:eastAsia="Times New Roman" w:cs="Times New Roman"/>
        </w:rPr>
        <w:t xml:space="preserve"> </w:t>
      </w:r>
      <w:r w:rsidRPr="00CA042F">
        <w:rPr>
          <w:rFonts w:eastAsia="Times New Roman" w:cs="Times New Roman"/>
        </w:rPr>
        <w:t>feminista, Universidad Nacional Autónoma de México, Centro de Investigaciones</w:t>
      </w:r>
      <w:r>
        <w:rPr>
          <w:rFonts w:eastAsia="Times New Roman" w:cs="Times New Roman"/>
        </w:rPr>
        <w:t xml:space="preserve"> </w:t>
      </w:r>
      <w:r w:rsidRPr="00CA042F">
        <w:rPr>
          <w:rFonts w:eastAsia="Times New Roman" w:cs="Times New Roman"/>
        </w:rPr>
        <w:t>Interdisciplinarias en Ciencias y Humanidades.</w:t>
      </w:r>
      <w:r>
        <w:rPr>
          <w:rFonts w:eastAsia="Times New Roman" w:cs="Times New Roman"/>
        </w:rPr>
        <w:t xml:space="preserve"> </w:t>
      </w:r>
    </w:p>
    <w:p w:rsidR="00CA042F" w:rsidP="00CA042F" w:rsidRDefault="00CA042F" w14:paraId="1C8E8CBC" w14:textId="77777777">
      <w:pPr>
        <w:ind w:left="709" w:hanging="709"/>
        <w:jc w:val="both"/>
        <w:rPr>
          <w:rFonts w:eastAsia="Times New Roman" w:cs="Times New Roman"/>
        </w:rPr>
      </w:pPr>
      <w:r w:rsidRPr="00CA042F">
        <w:rPr>
          <w:rFonts w:eastAsia="Times New Roman" w:cs="Times New Roman"/>
        </w:rPr>
        <w:t>Círculo de Epistemología de la Escuela Normal Superior de París, (1970) “Preguntas a</w:t>
      </w:r>
      <w:r>
        <w:rPr>
          <w:rFonts w:eastAsia="Times New Roman" w:cs="Times New Roman"/>
        </w:rPr>
        <w:t xml:space="preserve"> </w:t>
      </w:r>
      <w:r w:rsidRPr="00CA042F">
        <w:rPr>
          <w:rFonts w:eastAsia="Times New Roman" w:cs="Times New Roman"/>
        </w:rPr>
        <w:t xml:space="preserve">Michel Foucault”, en: </w:t>
      </w:r>
      <w:r w:rsidRPr="00CA042F">
        <w:rPr>
          <w:rFonts w:eastAsia="Times New Roman" w:cs="Times New Roman"/>
          <w:i/>
          <w:iCs/>
        </w:rPr>
        <w:t>Análisis de Michel Foucault</w:t>
      </w:r>
      <w:r w:rsidRPr="00CA042F">
        <w:rPr>
          <w:rFonts w:eastAsia="Times New Roman" w:cs="Times New Roman"/>
        </w:rPr>
        <w:t>, Buenos Aires, Tiempo</w:t>
      </w:r>
      <w:r>
        <w:rPr>
          <w:rFonts w:eastAsia="Times New Roman" w:cs="Times New Roman"/>
        </w:rPr>
        <w:t xml:space="preserve"> </w:t>
      </w:r>
      <w:r w:rsidRPr="00CA042F">
        <w:rPr>
          <w:rFonts w:eastAsia="Times New Roman" w:cs="Times New Roman"/>
        </w:rPr>
        <w:t>Contemporáneo.</w:t>
      </w:r>
    </w:p>
    <w:p w:rsidR="00CA042F" w:rsidP="00CA042F" w:rsidRDefault="00CA042F" w14:paraId="52EF6A69" w14:textId="77777777">
      <w:pPr>
        <w:ind w:left="709" w:hanging="709"/>
        <w:jc w:val="both"/>
        <w:rPr>
          <w:rFonts w:eastAsia="Times New Roman" w:cs="Times New Roman"/>
        </w:rPr>
      </w:pPr>
      <w:r w:rsidRPr="00CA042F">
        <w:rPr>
          <w:rFonts w:eastAsia="Times New Roman" w:cs="Times New Roman"/>
        </w:rPr>
        <w:t xml:space="preserve">Facio, A. y </w:t>
      </w:r>
      <w:proofErr w:type="spellStart"/>
      <w:r w:rsidRPr="00CA042F">
        <w:rPr>
          <w:rFonts w:eastAsia="Times New Roman" w:cs="Times New Roman"/>
        </w:rPr>
        <w:t>Fries</w:t>
      </w:r>
      <w:proofErr w:type="spellEnd"/>
      <w:r w:rsidRPr="00CA042F">
        <w:rPr>
          <w:rFonts w:eastAsia="Times New Roman" w:cs="Times New Roman"/>
        </w:rPr>
        <w:t>, L. (1999) “Feminismo, género y patriarcado”, en Alda Facio y Lorena</w:t>
      </w:r>
    </w:p>
    <w:p w:rsidR="00CA042F" w:rsidP="00CA042F" w:rsidRDefault="00CA042F" w14:paraId="6AFD3E00" w14:textId="77777777">
      <w:pPr>
        <w:ind w:left="709" w:hanging="709"/>
        <w:jc w:val="both"/>
        <w:rPr>
          <w:rFonts w:eastAsia="Times New Roman" w:cs="Times New Roman"/>
        </w:rPr>
      </w:pPr>
      <w:proofErr w:type="spellStart"/>
      <w:r w:rsidRPr="00CA042F">
        <w:rPr>
          <w:rFonts w:eastAsia="Times New Roman" w:cs="Times New Roman"/>
        </w:rPr>
        <w:t>Fries</w:t>
      </w:r>
      <w:proofErr w:type="spellEnd"/>
      <w:r w:rsidRPr="00CA042F">
        <w:rPr>
          <w:rFonts w:eastAsia="Times New Roman" w:cs="Times New Roman"/>
        </w:rPr>
        <w:t xml:space="preserve"> (</w:t>
      </w:r>
      <w:proofErr w:type="spellStart"/>
      <w:r w:rsidRPr="00CA042F">
        <w:rPr>
          <w:rFonts w:eastAsia="Times New Roman" w:cs="Times New Roman"/>
        </w:rPr>
        <w:t>ed</w:t>
      </w:r>
      <w:proofErr w:type="spellEnd"/>
      <w:r w:rsidRPr="00CA042F">
        <w:rPr>
          <w:rFonts w:eastAsia="Times New Roman" w:cs="Times New Roman"/>
        </w:rPr>
        <w:t xml:space="preserve">) </w:t>
      </w:r>
      <w:r w:rsidRPr="00CA042F">
        <w:rPr>
          <w:rFonts w:eastAsia="Times New Roman" w:cs="Times New Roman"/>
          <w:i/>
          <w:iCs/>
        </w:rPr>
        <w:t xml:space="preserve">Género y Derecho, </w:t>
      </w:r>
      <w:r w:rsidRPr="00CA042F">
        <w:rPr>
          <w:rFonts w:eastAsia="Times New Roman" w:cs="Times New Roman"/>
        </w:rPr>
        <w:t xml:space="preserve">Santiago de Chile, La Morada/Lom/American </w:t>
      </w:r>
      <w:proofErr w:type="spellStart"/>
      <w:r w:rsidRPr="00CA042F">
        <w:rPr>
          <w:rFonts w:eastAsia="Times New Roman" w:cs="Times New Roman"/>
        </w:rPr>
        <w:t>University.</w:t>
      </w:r>
      <w:proofErr w:type="spellEnd"/>
    </w:p>
    <w:p w:rsidR="00CA042F" w:rsidP="00CA042F" w:rsidRDefault="00CA042F" w14:paraId="3F515BD9" w14:textId="77777777">
      <w:pPr>
        <w:ind w:left="709" w:hanging="709"/>
        <w:jc w:val="both"/>
        <w:rPr>
          <w:rFonts w:eastAsia="Times New Roman" w:cs="Times New Roman"/>
        </w:rPr>
      </w:pPr>
      <w:r w:rsidRPr="00CA042F">
        <w:rPr>
          <w:rFonts w:eastAsia="Times New Roman" w:cs="Times New Roman"/>
        </w:rPr>
        <w:t xml:space="preserve">Foucault, Michel, (1979) </w:t>
      </w:r>
      <w:r w:rsidRPr="00CA042F">
        <w:rPr>
          <w:rFonts w:eastAsia="Times New Roman" w:cs="Times New Roman"/>
          <w:i/>
          <w:iCs/>
        </w:rPr>
        <w:t>La arqueología del saber</w:t>
      </w:r>
      <w:r w:rsidRPr="00CA042F">
        <w:rPr>
          <w:rFonts w:eastAsia="Times New Roman" w:cs="Times New Roman"/>
        </w:rPr>
        <w:t>, México, Siglo XXI.</w:t>
      </w:r>
    </w:p>
    <w:p w:rsidR="00CA042F" w:rsidP="00CA042F" w:rsidRDefault="00CA042F" w14:paraId="74F13548" w14:textId="77777777">
      <w:pPr>
        <w:ind w:left="709" w:hanging="709"/>
        <w:jc w:val="both"/>
        <w:rPr>
          <w:rFonts w:eastAsia="Times New Roman" w:cs="Times New Roman"/>
        </w:rPr>
      </w:pPr>
      <w:r w:rsidRPr="00CA042F">
        <w:rPr>
          <w:rFonts w:eastAsia="Times New Roman" w:cs="Times New Roman"/>
        </w:rPr>
        <w:t xml:space="preserve">Foucault, Michel, (1987) </w:t>
      </w:r>
      <w:r w:rsidRPr="00CA042F">
        <w:rPr>
          <w:rFonts w:eastAsia="Times New Roman" w:cs="Times New Roman"/>
          <w:i/>
          <w:iCs/>
        </w:rPr>
        <w:t xml:space="preserve">Hermenéutica del Sujeto, </w:t>
      </w:r>
      <w:r w:rsidRPr="00CA042F">
        <w:rPr>
          <w:rFonts w:eastAsia="Times New Roman" w:cs="Times New Roman"/>
        </w:rPr>
        <w:t>Madrid, La Piqueta.</w:t>
      </w:r>
    </w:p>
    <w:p w:rsidR="00CA042F" w:rsidP="00CA042F" w:rsidRDefault="00CA042F" w14:paraId="46B24F47" w14:textId="77777777">
      <w:pPr>
        <w:ind w:left="709" w:hanging="709"/>
        <w:jc w:val="both"/>
        <w:rPr>
          <w:rFonts w:eastAsia="Times New Roman" w:cs="Times New Roman"/>
        </w:rPr>
      </w:pPr>
      <w:r w:rsidRPr="00CA042F">
        <w:rPr>
          <w:rFonts w:eastAsia="Times New Roman" w:cs="Times New Roman"/>
        </w:rPr>
        <w:t xml:space="preserve">Foucault, Michel, (1991) </w:t>
      </w:r>
      <w:r w:rsidRPr="00CA042F">
        <w:rPr>
          <w:rFonts w:eastAsia="Times New Roman" w:cs="Times New Roman"/>
          <w:i/>
          <w:iCs/>
        </w:rPr>
        <w:t>Historia de la Sexualidad</w:t>
      </w:r>
      <w:r w:rsidRPr="00CA042F">
        <w:rPr>
          <w:rFonts w:eastAsia="Times New Roman" w:cs="Times New Roman"/>
        </w:rPr>
        <w:t>,</w:t>
      </w:r>
      <w:r w:rsidRPr="00CA042F">
        <w:rPr>
          <w:rFonts w:eastAsia="Times New Roman" w:cs="Times New Roman"/>
          <w:i/>
          <w:iCs/>
        </w:rPr>
        <w:t xml:space="preserve"> 1. La voluntad de saber</w:t>
      </w:r>
      <w:r w:rsidRPr="00CA042F">
        <w:rPr>
          <w:rFonts w:eastAsia="Times New Roman" w:cs="Times New Roman"/>
        </w:rPr>
        <w:t>, México,</w:t>
      </w:r>
      <w:r>
        <w:rPr>
          <w:rFonts w:eastAsia="Times New Roman" w:cs="Times New Roman"/>
        </w:rPr>
        <w:t xml:space="preserve"> </w:t>
      </w:r>
      <w:r w:rsidRPr="00CA042F">
        <w:rPr>
          <w:rFonts w:eastAsia="Times New Roman" w:cs="Times New Roman"/>
        </w:rPr>
        <w:t>Siglo XXI.</w:t>
      </w:r>
    </w:p>
    <w:p w:rsidR="00CA042F" w:rsidP="00CA042F" w:rsidRDefault="00CA042F" w14:paraId="02146D89" w14:textId="77777777">
      <w:pPr>
        <w:ind w:left="709" w:hanging="709"/>
        <w:jc w:val="both"/>
        <w:rPr>
          <w:rFonts w:eastAsia="Times New Roman" w:cs="Times New Roman"/>
        </w:rPr>
      </w:pPr>
      <w:r w:rsidRPr="00CA042F">
        <w:rPr>
          <w:rFonts w:eastAsia="Times New Roman" w:cs="Times New Roman"/>
        </w:rPr>
        <w:t xml:space="preserve">Foucault, Michel, (2006) Seguridad, territorio y población: Curso en el </w:t>
      </w:r>
      <w:proofErr w:type="spellStart"/>
      <w:r w:rsidRPr="00CA042F">
        <w:rPr>
          <w:rFonts w:eastAsia="Times New Roman" w:cs="Times New Roman"/>
        </w:rPr>
        <w:t>Colége</w:t>
      </w:r>
      <w:proofErr w:type="spellEnd"/>
      <w:r w:rsidRPr="00CA042F">
        <w:rPr>
          <w:rFonts w:eastAsia="Times New Roman" w:cs="Times New Roman"/>
        </w:rPr>
        <w:t xml:space="preserve"> de France:</w:t>
      </w:r>
      <w:r>
        <w:rPr>
          <w:rFonts w:eastAsia="Times New Roman" w:cs="Times New Roman"/>
        </w:rPr>
        <w:t xml:space="preserve"> </w:t>
      </w:r>
      <w:r w:rsidRPr="00CA042F">
        <w:rPr>
          <w:rFonts w:eastAsia="Times New Roman" w:cs="Times New Roman"/>
        </w:rPr>
        <w:t>1977-1978, 1ra ed. Buenos Aires, FCE.</w:t>
      </w:r>
    </w:p>
    <w:p w:rsidRPr="00B01E48" w:rsidR="00CA042F" w:rsidP="00CA042F" w:rsidRDefault="00CA042F" w14:paraId="4864781D" w14:textId="77777777">
      <w:pPr>
        <w:ind w:left="709" w:hanging="709"/>
        <w:jc w:val="both"/>
        <w:rPr>
          <w:rFonts w:eastAsia="Times New Roman" w:cs="Times New Roman"/>
        </w:rPr>
      </w:pPr>
      <w:r w:rsidRPr="345FD012">
        <w:rPr>
          <w:rFonts w:eastAsia="Times New Roman" w:cs="Times New Roman"/>
          <w:lang w:val="en-US"/>
        </w:rPr>
        <w:t xml:space="preserve">Foucault, M. (1980). Power/Knowledge: Selected Interviews and Other Writings 1972-1977. </w:t>
      </w:r>
      <w:r w:rsidRPr="345FD012">
        <w:rPr>
          <w:rFonts w:eastAsia="Times New Roman" w:cs="Times New Roman"/>
        </w:rPr>
        <w:t>New York: Colin Gordon.</w:t>
      </w:r>
    </w:p>
    <w:p w:rsidRPr="00B01E48" w:rsidR="00CA042F" w:rsidP="00CA042F" w:rsidRDefault="00CA042F" w14:paraId="5160C847" w14:textId="77777777">
      <w:pPr>
        <w:ind w:left="709" w:hanging="709"/>
        <w:jc w:val="both"/>
        <w:rPr>
          <w:rFonts w:eastAsia="Times New Roman" w:cs="Times New Roman"/>
        </w:rPr>
      </w:pPr>
      <w:r w:rsidRPr="345FD012">
        <w:rPr>
          <w:rFonts w:eastAsia="Times New Roman" w:cs="Times New Roman"/>
        </w:rPr>
        <w:t>Foucault, M. (1988). El sujeto y el poder. Revista Mexicana de Sociología, 50, (3), pp. 3-20.</w:t>
      </w:r>
    </w:p>
    <w:p w:rsidRPr="00B01E48" w:rsidR="00CA042F" w:rsidP="00CA042F" w:rsidRDefault="00CA042F" w14:paraId="08F01A2C" w14:textId="77777777">
      <w:pPr>
        <w:ind w:left="709" w:hanging="709"/>
        <w:jc w:val="both"/>
        <w:rPr>
          <w:rFonts w:eastAsia="Times New Roman" w:cs="Times New Roman"/>
        </w:rPr>
      </w:pPr>
      <w:r w:rsidRPr="345FD012">
        <w:rPr>
          <w:rFonts w:eastAsia="Times New Roman" w:cs="Times New Roman"/>
        </w:rPr>
        <w:t>Foucault, M. (1992). El orden del discurso. Buenos Aires: Tusquets Editores</w:t>
      </w:r>
    </w:p>
    <w:p w:rsidR="00CA042F" w:rsidP="00CA042F" w:rsidRDefault="00CA042F" w14:paraId="0FBB8354" w14:textId="77777777">
      <w:pPr>
        <w:ind w:left="709" w:hanging="709"/>
        <w:jc w:val="both"/>
        <w:rPr>
          <w:rFonts w:eastAsia="Times New Roman" w:cs="Times New Roman"/>
        </w:rPr>
      </w:pPr>
      <w:r w:rsidRPr="345FD012">
        <w:rPr>
          <w:rFonts w:eastAsia="Times New Roman" w:cs="Times New Roman"/>
        </w:rPr>
        <w:t xml:space="preserve">Foucault, M. (2008). Nacimiento de la biopolítica: curso en el </w:t>
      </w:r>
      <w:proofErr w:type="spellStart"/>
      <w:r w:rsidRPr="345FD012">
        <w:rPr>
          <w:rFonts w:eastAsia="Times New Roman" w:cs="Times New Roman"/>
        </w:rPr>
        <w:t>College</w:t>
      </w:r>
      <w:proofErr w:type="spellEnd"/>
      <w:r w:rsidRPr="345FD012">
        <w:rPr>
          <w:rFonts w:eastAsia="Times New Roman" w:cs="Times New Roman"/>
        </w:rPr>
        <w:t xml:space="preserve"> de France. Buenos Aires: Fondo de Cultura Económica.</w:t>
      </w:r>
    </w:p>
    <w:p w:rsidR="00CA042F" w:rsidP="00CA042F" w:rsidRDefault="00CA042F" w14:paraId="07D2176D" w14:textId="77777777">
      <w:pPr>
        <w:ind w:left="709" w:hanging="709"/>
        <w:jc w:val="both"/>
        <w:rPr>
          <w:rFonts w:eastAsia="Times New Roman" w:cs="Times New Roman"/>
        </w:rPr>
      </w:pPr>
      <w:r w:rsidRPr="00CA042F">
        <w:rPr>
          <w:rFonts w:eastAsia="Times New Roman" w:cs="Times New Roman"/>
        </w:rPr>
        <w:t>Foucault, M., Saber y verdad, Madrid, La Piqueta, 1985, p.193-4.</w:t>
      </w:r>
    </w:p>
    <w:p w:rsidR="00CA042F" w:rsidP="00CA042F" w:rsidRDefault="00CA042F" w14:paraId="04F4F579" w14:textId="77777777">
      <w:pPr>
        <w:ind w:left="709" w:hanging="709"/>
        <w:jc w:val="both"/>
        <w:rPr>
          <w:rFonts w:eastAsia="Times New Roman" w:cs="Times New Roman"/>
        </w:rPr>
      </w:pPr>
      <w:r w:rsidRPr="00CA042F">
        <w:rPr>
          <w:rFonts w:eastAsia="Times New Roman" w:cs="Times New Roman"/>
        </w:rPr>
        <w:t>Foucault, M. “El poder, una bestia magnífica. Entrevista con Manuel Osorio”. En El poder, una bestia</w:t>
      </w:r>
      <w:r>
        <w:rPr>
          <w:rFonts w:eastAsia="Times New Roman" w:cs="Times New Roman"/>
        </w:rPr>
        <w:t xml:space="preserve"> </w:t>
      </w:r>
      <w:r w:rsidRPr="00CA042F">
        <w:rPr>
          <w:rFonts w:eastAsia="Times New Roman" w:cs="Times New Roman"/>
        </w:rPr>
        <w:t>magnífica. México: Siglo XXI, 2012: 29-45.</w:t>
      </w:r>
    </w:p>
    <w:p w:rsidR="00CA042F" w:rsidP="00CA042F" w:rsidRDefault="00CA042F" w14:paraId="3AF826CD" w14:textId="77777777">
      <w:pPr>
        <w:ind w:left="709" w:hanging="709"/>
        <w:jc w:val="both"/>
        <w:rPr>
          <w:rFonts w:eastAsia="Times New Roman" w:cs="Times New Roman"/>
        </w:rPr>
      </w:pPr>
      <w:r w:rsidRPr="00CA042F">
        <w:rPr>
          <w:rFonts w:eastAsia="Times New Roman" w:cs="Times New Roman"/>
        </w:rPr>
        <w:t>Fraser, Nancy, (1997) “¿De la distribución al reconocimiento? Dilemas en torno a la</w:t>
      </w:r>
      <w:r>
        <w:rPr>
          <w:rFonts w:eastAsia="Times New Roman" w:cs="Times New Roman"/>
        </w:rPr>
        <w:t xml:space="preserve"> </w:t>
      </w:r>
      <w:r w:rsidRPr="00CA042F">
        <w:rPr>
          <w:rFonts w:eastAsia="Times New Roman" w:cs="Times New Roman"/>
        </w:rPr>
        <w:t>justicia en una época “</w:t>
      </w:r>
      <w:proofErr w:type="spellStart"/>
      <w:r w:rsidRPr="00CA042F">
        <w:rPr>
          <w:rFonts w:eastAsia="Times New Roman" w:cs="Times New Roman"/>
        </w:rPr>
        <w:t>postsocialista</w:t>
      </w:r>
      <w:proofErr w:type="spellEnd"/>
      <w:r w:rsidRPr="00CA042F">
        <w:rPr>
          <w:rFonts w:eastAsia="Times New Roman" w:cs="Times New Roman"/>
        </w:rPr>
        <w:t xml:space="preserve">”, en: Fraser, </w:t>
      </w:r>
      <w:proofErr w:type="spellStart"/>
      <w:r w:rsidRPr="00CA042F">
        <w:rPr>
          <w:rFonts w:eastAsia="Times New Roman" w:cs="Times New Roman"/>
          <w:i/>
          <w:iCs/>
        </w:rPr>
        <w:t>Iustittia</w:t>
      </w:r>
      <w:proofErr w:type="spellEnd"/>
      <w:r w:rsidRPr="00CA042F">
        <w:rPr>
          <w:rFonts w:eastAsia="Times New Roman" w:cs="Times New Roman"/>
          <w:i/>
          <w:iCs/>
        </w:rPr>
        <w:t xml:space="preserve"> Interrupta: Reflexiones críticas</w:t>
      </w:r>
      <w:r>
        <w:rPr>
          <w:rFonts w:eastAsia="Times New Roman" w:cs="Times New Roman"/>
        </w:rPr>
        <w:t xml:space="preserve"> </w:t>
      </w:r>
      <w:r w:rsidRPr="00CA042F">
        <w:rPr>
          <w:rFonts w:eastAsia="Times New Roman" w:cs="Times New Roman"/>
          <w:i/>
          <w:iCs/>
        </w:rPr>
        <w:t>desde la posición “</w:t>
      </w:r>
      <w:proofErr w:type="spellStart"/>
      <w:r w:rsidRPr="00CA042F">
        <w:rPr>
          <w:rFonts w:eastAsia="Times New Roman" w:cs="Times New Roman"/>
          <w:i/>
          <w:iCs/>
        </w:rPr>
        <w:t>postsocialista</w:t>
      </w:r>
      <w:proofErr w:type="spellEnd"/>
      <w:r w:rsidRPr="00CA042F">
        <w:rPr>
          <w:rFonts w:eastAsia="Times New Roman" w:cs="Times New Roman"/>
          <w:i/>
          <w:iCs/>
        </w:rPr>
        <w:t xml:space="preserve">”, </w:t>
      </w:r>
      <w:r w:rsidRPr="00CA042F">
        <w:rPr>
          <w:rFonts w:eastAsia="Times New Roman" w:cs="Times New Roman"/>
        </w:rPr>
        <w:t>Capítulo I. Santa Fe de Bogotá, Siglo de Hombres</w:t>
      </w:r>
      <w:r>
        <w:rPr>
          <w:rFonts w:eastAsia="Times New Roman" w:cs="Times New Roman"/>
        </w:rPr>
        <w:t xml:space="preserve"> </w:t>
      </w:r>
      <w:r w:rsidRPr="00CA042F">
        <w:rPr>
          <w:rFonts w:eastAsia="Times New Roman" w:cs="Times New Roman"/>
        </w:rPr>
        <w:t>Editores, pp. 17-54. Tomado de: www.cholonautas.edu.pe, Biblioteca Virtual de Ciencias</w:t>
      </w:r>
      <w:r>
        <w:rPr>
          <w:rFonts w:eastAsia="Times New Roman" w:cs="Times New Roman"/>
        </w:rPr>
        <w:t xml:space="preserve"> </w:t>
      </w:r>
      <w:proofErr w:type="spellStart"/>
      <w:r w:rsidRPr="00CA042F">
        <w:rPr>
          <w:rFonts w:eastAsia="Times New Roman" w:cs="Times New Roman"/>
        </w:rPr>
        <w:t>Sociales.</w:t>
      </w:r>
      <w:proofErr w:type="spellEnd"/>
    </w:p>
    <w:p w:rsidR="00CA042F" w:rsidP="00CA042F" w:rsidRDefault="00CA042F" w14:paraId="2288CA23" w14:textId="77777777">
      <w:pPr>
        <w:ind w:left="709" w:hanging="709"/>
        <w:jc w:val="both"/>
        <w:rPr>
          <w:rFonts w:eastAsia="Times New Roman" w:cs="Times New Roman"/>
        </w:rPr>
      </w:pPr>
      <w:proofErr w:type="spellStart"/>
      <w:r w:rsidRPr="00CA042F">
        <w:rPr>
          <w:rFonts w:eastAsia="Times New Roman" w:cs="Times New Roman"/>
        </w:rPr>
        <w:t>Haraway</w:t>
      </w:r>
      <w:proofErr w:type="spellEnd"/>
      <w:r w:rsidRPr="00CA042F">
        <w:rPr>
          <w:rFonts w:eastAsia="Times New Roman" w:cs="Times New Roman"/>
        </w:rPr>
        <w:t>, Donna. “Una biopolítica de la reproducción artefactual”. En Las promesas de los</w:t>
      </w:r>
      <w:r>
        <w:rPr>
          <w:rFonts w:eastAsia="Times New Roman" w:cs="Times New Roman"/>
        </w:rPr>
        <w:t xml:space="preserve"> </w:t>
      </w:r>
      <w:r w:rsidRPr="00CA042F">
        <w:rPr>
          <w:rFonts w:eastAsia="Times New Roman" w:cs="Times New Roman"/>
        </w:rPr>
        <w:t>monstruos: Una política regeneradora para otros inapropiados/</w:t>
      </w:r>
      <w:proofErr w:type="spellStart"/>
      <w:r w:rsidRPr="00CA042F">
        <w:rPr>
          <w:rFonts w:eastAsia="Times New Roman" w:cs="Times New Roman"/>
        </w:rPr>
        <w:t>bles</w:t>
      </w:r>
      <w:proofErr w:type="spellEnd"/>
      <w:r w:rsidRPr="00CA042F">
        <w:rPr>
          <w:rFonts w:eastAsia="Times New Roman" w:cs="Times New Roman"/>
        </w:rPr>
        <w:t>. Política y Sociedad 30 (1999):</w:t>
      </w:r>
      <w:r>
        <w:rPr>
          <w:rFonts w:eastAsia="Times New Roman" w:cs="Times New Roman"/>
        </w:rPr>
        <w:t xml:space="preserve"> </w:t>
      </w:r>
      <w:r w:rsidRPr="00CA042F">
        <w:rPr>
          <w:rFonts w:eastAsia="Times New Roman" w:cs="Times New Roman"/>
        </w:rPr>
        <w:t>121-130.</w:t>
      </w:r>
    </w:p>
    <w:p w:rsidR="00CA042F" w:rsidP="00CA042F" w:rsidRDefault="00CA042F" w14:paraId="7EC6648E" w14:textId="77777777">
      <w:pPr>
        <w:ind w:left="709" w:hanging="709"/>
        <w:jc w:val="both"/>
        <w:rPr>
          <w:rFonts w:eastAsia="Times New Roman" w:cs="Times New Roman"/>
        </w:rPr>
      </w:pPr>
      <w:r w:rsidRPr="00CA042F">
        <w:rPr>
          <w:rFonts w:eastAsia="Times New Roman" w:cs="Times New Roman"/>
        </w:rPr>
        <w:t xml:space="preserve">Han, </w:t>
      </w:r>
      <w:proofErr w:type="spellStart"/>
      <w:r w:rsidRPr="00CA042F">
        <w:rPr>
          <w:rFonts w:eastAsia="Times New Roman" w:cs="Times New Roman"/>
        </w:rPr>
        <w:t>Byung-Chul</w:t>
      </w:r>
      <w:proofErr w:type="spellEnd"/>
      <w:r w:rsidRPr="00CA042F">
        <w:rPr>
          <w:rFonts w:eastAsia="Times New Roman" w:cs="Times New Roman"/>
        </w:rPr>
        <w:t xml:space="preserve">. “Psicopolítica”. En </w:t>
      </w:r>
      <w:proofErr w:type="spellStart"/>
      <w:r w:rsidRPr="00CA042F">
        <w:rPr>
          <w:rFonts w:eastAsia="Times New Roman" w:cs="Times New Roman"/>
        </w:rPr>
        <w:t>En</w:t>
      </w:r>
      <w:proofErr w:type="spellEnd"/>
      <w:r w:rsidRPr="00CA042F">
        <w:rPr>
          <w:rFonts w:eastAsia="Times New Roman" w:cs="Times New Roman"/>
        </w:rPr>
        <w:t xml:space="preserve"> el enjambre. España: Herder, 2016: 105-109.</w:t>
      </w:r>
    </w:p>
    <w:p w:rsidR="00CA042F" w:rsidP="00145F68" w:rsidRDefault="00CA042F" w14:paraId="6AA2D6E8" w14:textId="6BFF0607">
      <w:pPr>
        <w:ind w:left="709" w:hanging="709"/>
        <w:jc w:val="both"/>
        <w:rPr>
          <w:rFonts w:eastAsia="Times New Roman" w:cs="Times New Roman"/>
        </w:rPr>
      </w:pPr>
      <w:r w:rsidRPr="00CA042F">
        <w:rPr>
          <w:rFonts w:eastAsia="Times New Roman" w:cs="Times New Roman"/>
        </w:rPr>
        <w:t>Itatí Rodríguez, M., Ruíz Silva, A. y Prada Londoño, M. (2012) La formación de subjetividad política.</w:t>
      </w:r>
      <w:r>
        <w:rPr>
          <w:rFonts w:eastAsia="Times New Roman" w:cs="Times New Roman"/>
        </w:rPr>
        <w:t xml:space="preserve"> </w:t>
      </w:r>
      <w:r w:rsidRPr="00CA042F">
        <w:rPr>
          <w:rFonts w:eastAsia="Times New Roman" w:cs="Times New Roman"/>
        </w:rPr>
        <w:t>Propuestas y recursos para el aula. Buenos aires: Paidós.</w:t>
      </w:r>
    </w:p>
    <w:p w:rsidR="00CA042F" w:rsidP="00CA042F" w:rsidRDefault="00CA042F" w14:paraId="7AD3D915" w14:textId="77777777">
      <w:pPr>
        <w:ind w:left="709" w:hanging="709"/>
        <w:jc w:val="both"/>
        <w:rPr>
          <w:rFonts w:eastAsia="Times New Roman" w:cs="Times New Roman"/>
        </w:rPr>
      </w:pPr>
      <w:r w:rsidRPr="00CA042F">
        <w:rPr>
          <w:rFonts w:eastAsia="Times New Roman" w:cs="Times New Roman"/>
        </w:rPr>
        <w:t xml:space="preserve">Lamas, Marta (1996), “Usos, dificultades y posibilidades de la categoría de género”, en: </w:t>
      </w:r>
      <w:r w:rsidRPr="00CA042F">
        <w:rPr>
          <w:rFonts w:eastAsia="Times New Roman" w:cs="Times New Roman"/>
          <w:i/>
          <w:iCs/>
        </w:rPr>
        <w:t>El</w:t>
      </w:r>
      <w:r>
        <w:rPr>
          <w:rFonts w:eastAsia="Times New Roman" w:cs="Times New Roman"/>
        </w:rPr>
        <w:t xml:space="preserve"> </w:t>
      </w:r>
      <w:r w:rsidRPr="00CA042F">
        <w:rPr>
          <w:rFonts w:eastAsia="Times New Roman" w:cs="Times New Roman"/>
          <w:i/>
          <w:iCs/>
        </w:rPr>
        <w:t xml:space="preserve">Género: la </w:t>
      </w:r>
      <w:r w:rsidRPr="00CA042F">
        <w:rPr>
          <w:rFonts w:eastAsia="Times New Roman" w:cs="Times New Roman"/>
          <w:i/>
          <w:iCs/>
        </w:rPr>
        <w:t xml:space="preserve">construcción cultural de la diferencia sexual, </w:t>
      </w:r>
      <w:r w:rsidRPr="00CA042F">
        <w:rPr>
          <w:rFonts w:eastAsia="Times New Roman" w:cs="Times New Roman"/>
        </w:rPr>
        <w:t>Marta Lamas, compiladora.</w:t>
      </w:r>
      <w:r>
        <w:rPr>
          <w:rFonts w:eastAsia="Times New Roman" w:cs="Times New Roman"/>
        </w:rPr>
        <w:t xml:space="preserve"> </w:t>
      </w:r>
      <w:r w:rsidRPr="00CA042F">
        <w:rPr>
          <w:rFonts w:eastAsia="Times New Roman" w:cs="Times New Roman"/>
        </w:rPr>
        <w:t>México, 1996.</w:t>
      </w:r>
    </w:p>
    <w:p w:rsidR="00CA042F" w:rsidP="00CA042F" w:rsidRDefault="00CA042F" w14:paraId="3B055619" w14:textId="77777777">
      <w:pPr>
        <w:ind w:left="709" w:hanging="709"/>
        <w:jc w:val="both"/>
        <w:rPr>
          <w:rFonts w:eastAsia="Times New Roman" w:cs="Times New Roman"/>
        </w:rPr>
      </w:pPr>
      <w:r w:rsidRPr="00CA042F">
        <w:rPr>
          <w:rFonts w:eastAsia="Times New Roman" w:cs="Times New Roman"/>
        </w:rPr>
        <w:t xml:space="preserve">Lamas, Marta (2000), “Diferencias de sexo, género y diferencia sexual”, en: </w:t>
      </w:r>
      <w:proofErr w:type="spellStart"/>
      <w:r w:rsidRPr="00CA042F">
        <w:rPr>
          <w:rFonts w:eastAsia="Times New Roman" w:cs="Times New Roman"/>
          <w:i/>
          <w:iCs/>
        </w:rPr>
        <w:t>Circuilco</w:t>
      </w:r>
      <w:proofErr w:type="spellEnd"/>
      <w:r w:rsidRPr="00CA042F">
        <w:rPr>
          <w:rFonts w:eastAsia="Times New Roman" w:cs="Times New Roman"/>
        </w:rPr>
        <w:t>,</w:t>
      </w:r>
      <w:r>
        <w:rPr>
          <w:rFonts w:eastAsia="Times New Roman" w:cs="Times New Roman"/>
        </w:rPr>
        <w:t xml:space="preserve"> </w:t>
      </w:r>
      <w:r w:rsidRPr="00CA042F">
        <w:rPr>
          <w:rFonts w:eastAsia="Times New Roman" w:cs="Times New Roman"/>
        </w:rPr>
        <w:t>enero-abril, año/vol. 7, número 018. Escuela Nacional de Antropología e Historia (ENAH),</w:t>
      </w:r>
      <w:r>
        <w:rPr>
          <w:rFonts w:eastAsia="Times New Roman" w:cs="Times New Roman"/>
        </w:rPr>
        <w:t xml:space="preserve"> </w:t>
      </w:r>
      <w:r w:rsidRPr="00CA042F">
        <w:rPr>
          <w:rFonts w:eastAsia="Times New Roman" w:cs="Times New Roman"/>
        </w:rPr>
        <w:t>Distrito Federal, México.</w:t>
      </w:r>
    </w:p>
    <w:p w:rsidR="00CA042F" w:rsidP="00CA042F" w:rsidRDefault="00CA042F" w14:paraId="642CDF5A" w14:textId="77777777">
      <w:pPr>
        <w:ind w:left="709" w:hanging="709"/>
        <w:jc w:val="both"/>
        <w:rPr>
          <w:rFonts w:eastAsia="Times New Roman" w:cs="Times New Roman"/>
        </w:rPr>
      </w:pPr>
      <w:r w:rsidRPr="00CA042F">
        <w:rPr>
          <w:rFonts w:eastAsia="Times New Roman" w:cs="Times New Roman"/>
        </w:rPr>
        <w:t>León, Palencia, A. Una aproximación a las discusiones en el campo de la educación y la pedagogía.</w:t>
      </w:r>
      <w:r>
        <w:rPr>
          <w:rFonts w:eastAsia="Times New Roman" w:cs="Times New Roman"/>
        </w:rPr>
        <w:t xml:space="preserve"> </w:t>
      </w:r>
      <w:r w:rsidRPr="00CA042F">
        <w:rPr>
          <w:rFonts w:eastAsia="Times New Roman" w:cs="Times New Roman"/>
        </w:rPr>
        <w:t xml:space="preserve">Estado de la cuestión. En Revista Pedagogía y saberes </w:t>
      </w:r>
      <w:proofErr w:type="spellStart"/>
      <w:r w:rsidRPr="00CA042F">
        <w:rPr>
          <w:rFonts w:eastAsia="Times New Roman" w:cs="Times New Roman"/>
        </w:rPr>
        <w:t>N°</w:t>
      </w:r>
      <w:proofErr w:type="spellEnd"/>
      <w:r w:rsidRPr="00CA042F">
        <w:rPr>
          <w:rFonts w:eastAsia="Times New Roman" w:cs="Times New Roman"/>
        </w:rPr>
        <w:t xml:space="preserve"> 44.</w:t>
      </w:r>
    </w:p>
    <w:p w:rsidRPr="00CA042F" w:rsidR="00CA042F" w:rsidP="00CA042F" w:rsidRDefault="00CA042F" w14:paraId="2E7C64F1" w14:textId="0A0BF821">
      <w:pPr>
        <w:ind w:left="709" w:hanging="709"/>
        <w:jc w:val="both"/>
        <w:rPr>
          <w:rFonts w:eastAsia="Times New Roman" w:cs="Times New Roman"/>
        </w:rPr>
      </w:pPr>
      <w:proofErr w:type="spellStart"/>
      <w:r w:rsidRPr="00CA042F">
        <w:rPr>
          <w:rFonts w:eastAsia="Times New Roman" w:cs="Times New Roman"/>
        </w:rPr>
        <w:t>Mbembe</w:t>
      </w:r>
      <w:proofErr w:type="spellEnd"/>
      <w:r w:rsidRPr="00CA042F">
        <w:rPr>
          <w:rFonts w:eastAsia="Times New Roman" w:cs="Times New Roman"/>
        </w:rPr>
        <w:t>, Achille. “</w:t>
      </w:r>
      <w:proofErr w:type="spellStart"/>
      <w:r w:rsidRPr="00CA042F">
        <w:rPr>
          <w:rFonts w:eastAsia="Times New Roman" w:cs="Times New Roman"/>
        </w:rPr>
        <w:t>Necropolítica</w:t>
      </w:r>
      <w:proofErr w:type="spellEnd"/>
      <w:r w:rsidRPr="00CA042F">
        <w:rPr>
          <w:rFonts w:eastAsia="Times New Roman" w:cs="Times New Roman"/>
        </w:rPr>
        <w:t xml:space="preserve">”. En </w:t>
      </w:r>
      <w:proofErr w:type="spellStart"/>
      <w:r w:rsidRPr="00CA042F">
        <w:rPr>
          <w:rFonts w:eastAsia="Times New Roman" w:cs="Times New Roman"/>
        </w:rPr>
        <w:t>Necropolítica</w:t>
      </w:r>
      <w:proofErr w:type="spellEnd"/>
      <w:r w:rsidRPr="00CA042F">
        <w:rPr>
          <w:rFonts w:eastAsia="Times New Roman" w:cs="Times New Roman"/>
        </w:rPr>
        <w:t xml:space="preserve"> seguido de Sobre el gobierno privado indirecto.</w:t>
      </w:r>
      <w:r>
        <w:rPr>
          <w:rFonts w:eastAsia="Times New Roman" w:cs="Times New Roman"/>
        </w:rPr>
        <w:t xml:space="preserve"> </w:t>
      </w:r>
      <w:r w:rsidRPr="00CA042F">
        <w:rPr>
          <w:rFonts w:eastAsia="Times New Roman" w:cs="Times New Roman"/>
        </w:rPr>
        <w:t xml:space="preserve">España: </w:t>
      </w:r>
      <w:proofErr w:type="spellStart"/>
      <w:r w:rsidRPr="00CA042F">
        <w:rPr>
          <w:rFonts w:eastAsia="Times New Roman" w:cs="Times New Roman"/>
        </w:rPr>
        <w:t>Melusina</w:t>
      </w:r>
      <w:proofErr w:type="spellEnd"/>
      <w:r w:rsidRPr="00CA042F">
        <w:rPr>
          <w:rFonts w:eastAsia="Times New Roman" w:cs="Times New Roman"/>
        </w:rPr>
        <w:t>, 2011.</w:t>
      </w:r>
    </w:p>
    <w:p w:rsidR="00CA042F" w:rsidP="00145F68" w:rsidRDefault="00CA042F" w14:paraId="40C95AEF" w14:textId="09C1D46D">
      <w:pPr>
        <w:ind w:left="709" w:hanging="709"/>
        <w:jc w:val="both"/>
        <w:rPr>
          <w:rFonts w:eastAsia="Times New Roman" w:cs="Times New Roman"/>
        </w:rPr>
      </w:pPr>
      <w:proofErr w:type="spellStart"/>
      <w:r w:rsidRPr="00CA042F">
        <w:rPr>
          <w:rFonts w:eastAsia="Times New Roman" w:cs="Times New Roman"/>
        </w:rPr>
        <w:t>Morey</w:t>
      </w:r>
      <w:proofErr w:type="spellEnd"/>
      <w:r w:rsidRPr="00CA042F">
        <w:rPr>
          <w:rFonts w:eastAsia="Times New Roman" w:cs="Times New Roman"/>
        </w:rPr>
        <w:t xml:space="preserve"> M. El Hombre Como Argumento. En: el ámbito, </w:t>
      </w:r>
      <w:proofErr w:type="spellStart"/>
      <w:r w:rsidRPr="00CA042F">
        <w:rPr>
          <w:rFonts w:eastAsia="Times New Roman" w:cs="Times New Roman"/>
        </w:rPr>
        <w:t>antrophos</w:t>
      </w:r>
      <w:proofErr w:type="spellEnd"/>
      <w:r w:rsidRPr="00CA042F">
        <w:rPr>
          <w:rFonts w:eastAsia="Times New Roman" w:cs="Times New Roman"/>
        </w:rPr>
        <w:t>, 1989. Pág. 157. “</w:t>
      </w:r>
      <w:proofErr w:type="spellStart"/>
      <w:r w:rsidRPr="00CA042F">
        <w:rPr>
          <w:rFonts w:eastAsia="Times New Roman" w:cs="Times New Roman"/>
        </w:rPr>
        <w:t>Necropolítica</w:t>
      </w:r>
      <w:proofErr w:type="spellEnd"/>
      <w:r w:rsidRPr="00CA042F">
        <w:rPr>
          <w:rFonts w:eastAsia="Times New Roman" w:cs="Times New Roman"/>
        </w:rPr>
        <w:t xml:space="preserve">, una revisión crítica”. En Estética y violencia: </w:t>
      </w:r>
      <w:proofErr w:type="spellStart"/>
      <w:r w:rsidRPr="00CA042F">
        <w:rPr>
          <w:rFonts w:eastAsia="Times New Roman" w:cs="Times New Roman"/>
        </w:rPr>
        <w:t>necropolítica</w:t>
      </w:r>
      <w:proofErr w:type="spellEnd"/>
      <w:r w:rsidRPr="00CA042F">
        <w:rPr>
          <w:rFonts w:eastAsia="Times New Roman" w:cs="Times New Roman"/>
        </w:rPr>
        <w:t>, militarización y</w:t>
      </w:r>
      <w:r>
        <w:rPr>
          <w:rFonts w:eastAsia="Times New Roman" w:cs="Times New Roman"/>
        </w:rPr>
        <w:t xml:space="preserve"> </w:t>
      </w:r>
      <w:r w:rsidRPr="00CA042F">
        <w:rPr>
          <w:rFonts w:eastAsia="Times New Roman" w:cs="Times New Roman"/>
        </w:rPr>
        <w:t xml:space="preserve">vidas lloradas, compilado por Helena Chávez Mac </w:t>
      </w:r>
      <w:proofErr w:type="spellStart"/>
      <w:r w:rsidRPr="00CA042F">
        <w:rPr>
          <w:rFonts w:eastAsia="Times New Roman" w:cs="Times New Roman"/>
        </w:rPr>
        <w:t>Gregor</w:t>
      </w:r>
      <w:proofErr w:type="spellEnd"/>
      <w:r w:rsidRPr="00CA042F">
        <w:rPr>
          <w:rFonts w:eastAsia="Times New Roman" w:cs="Times New Roman"/>
        </w:rPr>
        <w:t>. Ciudad de México: MUAC, 2012: 130-139.</w:t>
      </w:r>
    </w:p>
    <w:p w:rsidR="00CA042F" w:rsidP="00CA042F" w:rsidRDefault="00CA042F" w14:paraId="15C7C062" w14:textId="77777777">
      <w:pPr>
        <w:ind w:left="709" w:hanging="709"/>
        <w:jc w:val="both"/>
        <w:rPr>
          <w:rFonts w:eastAsia="Times New Roman" w:cs="Times New Roman"/>
        </w:rPr>
      </w:pPr>
      <w:r w:rsidRPr="00CA042F">
        <w:rPr>
          <w:rFonts w:eastAsia="Times New Roman" w:cs="Times New Roman"/>
        </w:rPr>
        <w:t xml:space="preserve">Muñoz Cabrera, Patricia, (2011) </w:t>
      </w:r>
      <w:r w:rsidRPr="00CA042F">
        <w:rPr>
          <w:rFonts w:eastAsia="Times New Roman" w:cs="Times New Roman"/>
          <w:i/>
          <w:iCs/>
        </w:rPr>
        <w:t>Violencias interseccionales. Debates feministas y marcos</w:t>
      </w:r>
      <w:r>
        <w:rPr>
          <w:rFonts w:eastAsia="Times New Roman" w:cs="Times New Roman"/>
        </w:rPr>
        <w:t xml:space="preserve"> </w:t>
      </w:r>
      <w:r w:rsidRPr="00CA042F">
        <w:rPr>
          <w:rFonts w:eastAsia="Times New Roman" w:cs="Times New Roman"/>
          <w:i/>
          <w:iCs/>
        </w:rPr>
        <w:t xml:space="preserve">teóricos en el tema de pobreza y violencia contra las mujeres en </w:t>
      </w:r>
      <w:proofErr w:type="spellStart"/>
      <w:r w:rsidRPr="00CA042F">
        <w:rPr>
          <w:rFonts w:eastAsia="Times New Roman" w:cs="Times New Roman"/>
          <w:i/>
          <w:iCs/>
        </w:rPr>
        <w:t>Latinoamerica</w:t>
      </w:r>
      <w:proofErr w:type="spellEnd"/>
      <w:r w:rsidRPr="00CA042F">
        <w:rPr>
          <w:rFonts w:eastAsia="Times New Roman" w:cs="Times New Roman"/>
          <w:i/>
          <w:iCs/>
        </w:rPr>
        <w:t xml:space="preserve">. </w:t>
      </w:r>
      <w:r w:rsidRPr="00CA042F">
        <w:rPr>
          <w:rFonts w:eastAsia="Times New Roman" w:cs="Times New Roman"/>
        </w:rPr>
        <w:t>Honduras,</w:t>
      </w:r>
      <w:r>
        <w:rPr>
          <w:rFonts w:eastAsia="Times New Roman" w:cs="Times New Roman"/>
        </w:rPr>
        <w:t xml:space="preserve"> </w:t>
      </w:r>
      <w:r w:rsidRPr="00CA042F">
        <w:rPr>
          <w:rFonts w:eastAsia="Times New Roman" w:cs="Times New Roman"/>
        </w:rPr>
        <w:t>CAWN.</w:t>
      </w:r>
    </w:p>
    <w:p w:rsidRPr="00CA042F" w:rsidR="00CA042F" w:rsidP="00CA042F" w:rsidRDefault="00CA042F" w14:paraId="1EA8C6BE" w14:textId="5A4CE547">
      <w:pPr>
        <w:ind w:left="709" w:hanging="709"/>
        <w:jc w:val="both"/>
        <w:rPr>
          <w:rFonts w:eastAsia="Times New Roman" w:cs="Times New Roman"/>
        </w:rPr>
      </w:pPr>
      <w:r w:rsidRPr="00CA042F">
        <w:rPr>
          <w:rFonts w:eastAsia="Times New Roman" w:cs="Times New Roman"/>
        </w:rPr>
        <w:t xml:space="preserve">Núñez </w:t>
      </w:r>
      <w:proofErr w:type="spellStart"/>
      <w:r w:rsidRPr="00CA042F">
        <w:rPr>
          <w:rFonts w:eastAsia="Times New Roman" w:cs="Times New Roman"/>
        </w:rPr>
        <w:t>Norigea</w:t>
      </w:r>
      <w:proofErr w:type="spellEnd"/>
      <w:r w:rsidRPr="00CA042F">
        <w:rPr>
          <w:rFonts w:eastAsia="Times New Roman" w:cs="Times New Roman"/>
        </w:rPr>
        <w:t>, Guillermo (2001), “Diversidad Sexual” (y amorosa)”, Centro de</w:t>
      </w:r>
      <w:r>
        <w:rPr>
          <w:rFonts w:eastAsia="Times New Roman" w:cs="Times New Roman"/>
        </w:rPr>
        <w:t xml:space="preserve"> </w:t>
      </w:r>
      <w:r w:rsidRPr="00CA042F">
        <w:rPr>
          <w:rFonts w:eastAsia="Times New Roman" w:cs="Times New Roman"/>
        </w:rPr>
        <w:t xml:space="preserve">Investigación en Alimentación y Desarrollo, A.C. </w:t>
      </w:r>
      <w:proofErr w:type="spellStart"/>
      <w:r w:rsidRPr="00CA042F">
        <w:rPr>
          <w:rFonts w:eastAsia="Times New Roman" w:cs="Times New Roman"/>
        </w:rPr>
        <w:t>smd</w:t>
      </w:r>
      <w:proofErr w:type="spellEnd"/>
      <w:r w:rsidRPr="00CA042F">
        <w:rPr>
          <w:rFonts w:eastAsia="Times New Roman" w:cs="Times New Roman"/>
        </w:rPr>
        <w:t>.</w:t>
      </w:r>
    </w:p>
    <w:p w:rsidR="00CA042F" w:rsidP="00CA042F" w:rsidRDefault="00CA042F" w14:paraId="5038E24B" w14:textId="77777777">
      <w:pPr>
        <w:ind w:left="709" w:hanging="709"/>
        <w:jc w:val="both"/>
        <w:rPr>
          <w:rFonts w:eastAsia="Times New Roman" w:cs="Times New Roman"/>
        </w:rPr>
      </w:pPr>
      <w:r w:rsidRPr="00CA042F">
        <w:rPr>
          <w:rFonts w:eastAsia="Times New Roman" w:cs="Times New Roman"/>
        </w:rPr>
        <w:t xml:space="preserve">Núñez Noriega, Guillermo (2011), </w:t>
      </w:r>
      <w:r w:rsidRPr="00CA042F">
        <w:rPr>
          <w:rFonts w:eastAsia="Times New Roman" w:cs="Times New Roman"/>
          <w:i/>
          <w:iCs/>
        </w:rPr>
        <w:t>¿Qué es la diversidad sexual? Reflexiones desde la</w:t>
      </w:r>
      <w:r>
        <w:rPr>
          <w:rFonts w:eastAsia="Times New Roman" w:cs="Times New Roman"/>
        </w:rPr>
        <w:t xml:space="preserve"> </w:t>
      </w:r>
      <w:r w:rsidRPr="00CA042F">
        <w:rPr>
          <w:rFonts w:eastAsia="Times New Roman" w:cs="Times New Roman"/>
          <w:i/>
          <w:iCs/>
        </w:rPr>
        <w:t xml:space="preserve">academia y el movimiento ciudadano. </w:t>
      </w:r>
      <w:r w:rsidRPr="00CA042F">
        <w:rPr>
          <w:rFonts w:eastAsia="Times New Roman" w:cs="Times New Roman"/>
        </w:rPr>
        <w:t>México, CIAD, Abya Yala, Universidad Politécnica</w:t>
      </w:r>
      <w:r>
        <w:rPr>
          <w:rFonts w:eastAsia="Times New Roman" w:cs="Times New Roman"/>
        </w:rPr>
        <w:t xml:space="preserve"> </w:t>
      </w:r>
      <w:r w:rsidRPr="00CA042F">
        <w:rPr>
          <w:rFonts w:eastAsia="Times New Roman" w:cs="Times New Roman"/>
        </w:rPr>
        <w:t>Salesiana.</w:t>
      </w:r>
    </w:p>
    <w:p w:rsidR="00CA042F" w:rsidP="00CA042F" w:rsidRDefault="00CA042F" w14:paraId="0BE175ED" w14:textId="77777777">
      <w:pPr>
        <w:ind w:left="709" w:hanging="709"/>
        <w:jc w:val="both"/>
        <w:rPr>
          <w:rFonts w:eastAsia="Times New Roman" w:cs="Times New Roman"/>
        </w:rPr>
      </w:pPr>
      <w:proofErr w:type="spellStart"/>
      <w:r w:rsidRPr="00CA042F">
        <w:rPr>
          <w:rFonts w:eastAsia="Times New Roman" w:cs="Times New Roman"/>
        </w:rPr>
        <w:t>Sabsay</w:t>
      </w:r>
      <w:proofErr w:type="spellEnd"/>
      <w:r w:rsidRPr="00CA042F">
        <w:rPr>
          <w:rFonts w:eastAsia="Times New Roman" w:cs="Times New Roman"/>
        </w:rPr>
        <w:t xml:space="preserve">, Leticia (2011), </w:t>
      </w:r>
      <w:r w:rsidRPr="00CA042F">
        <w:rPr>
          <w:rFonts w:eastAsia="Times New Roman" w:cs="Times New Roman"/>
          <w:i/>
          <w:iCs/>
        </w:rPr>
        <w:t xml:space="preserve">Fronteras sexuales. Espacio urbano, cuerpos y ciudadanía. </w:t>
      </w:r>
      <w:r w:rsidRPr="00CA042F">
        <w:rPr>
          <w:rFonts w:eastAsia="Times New Roman" w:cs="Times New Roman"/>
        </w:rPr>
        <w:t>Buenos</w:t>
      </w:r>
      <w:r>
        <w:rPr>
          <w:rFonts w:eastAsia="Times New Roman" w:cs="Times New Roman"/>
        </w:rPr>
        <w:t xml:space="preserve"> </w:t>
      </w:r>
      <w:r w:rsidRPr="00CA042F">
        <w:rPr>
          <w:rFonts w:eastAsia="Times New Roman" w:cs="Times New Roman"/>
        </w:rPr>
        <w:t>Aires: Paidós.</w:t>
      </w:r>
    </w:p>
    <w:p w:rsidR="00CA042F" w:rsidP="00145F68" w:rsidRDefault="00CA042F" w14:paraId="23F5D878" w14:textId="4AF08F9A">
      <w:pPr>
        <w:ind w:left="709" w:hanging="709"/>
        <w:jc w:val="both"/>
        <w:rPr>
          <w:rFonts w:eastAsia="Times New Roman" w:cs="Times New Roman"/>
        </w:rPr>
      </w:pPr>
      <w:proofErr w:type="spellStart"/>
      <w:r w:rsidRPr="00CA042F">
        <w:rPr>
          <w:rFonts w:eastAsia="Times New Roman" w:cs="Times New Roman"/>
        </w:rPr>
        <w:t>Segato</w:t>
      </w:r>
      <w:proofErr w:type="spellEnd"/>
      <w:r w:rsidRPr="00CA042F">
        <w:rPr>
          <w:rFonts w:eastAsia="Times New Roman" w:cs="Times New Roman"/>
        </w:rPr>
        <w:t xml:space="preserve">, Rita Laura. “Las nuevas formas de la guerra y el cuerpo de las mujeres”. En </w:t>
      </w:r>
      <w:proofErr w:type="spellStart"/>
      <w:r w:rsidRPr="00CA042F">
        <w:rPr>
          <w:rFonts w:eastAsia="Times New Roman" w:cs="Times New Roman"/>
        </w:rPr>
        <w:t>Sociedade</w:t>
      </w:r>
      <w:proofErr w:type="spellEnd"/>
      <w:r w:rsidRPr="00CA042F">
        <w:rPr>
          <w:rFonts w:eastAsia="Times New Roman" w:cs="Times New Roman"/>
        </w:rPr>
        <w:t xml:space="preserve"> e</w:t>
      </w:r>
      <w:r>
        <w:rPr>
          <w:rFonts w:eastAsia="Times New Roman" w:cs="Times New Roman"/>
        </w:rPr>
        <w:t xml:space="preserve"> </w:t>
      </w:r>
      <w:r w:rsidRPr="00CA042F">
        <w:rPr>
          <w:rFonts w:eastAsia="Times New Roman" w:cs="Times New Roman"/>
        </w:rPr>
        <w:t xml:space="preserve">Estado 29 (2, 2014). </w:t>
      </w:r>
    </w:p>
    <w:p w:rsidR="00CA042F" w:rsidP="00CA042F" w:rsidRDefault="00CA042F" w14:paraId="56621C91" w14:textId="77777777">
      <w:pPr>
        <w:ind w:left="709" w:hanging="709"/>
        <w:jc w:val="both"/>
        <w:rPr>
          <w:rFonts w:eastAsia="Times New Roman" w:cs="Times New Roman"/>
        </w:rPr>
      </w:pPr>
      <w:r w:rsidRPr="00CA042F">
        <w:rPr>
          <w:rFonts w:eastAsia="Times New Roman" w:cs="Times New Roman"/>
        </w:rPr>
        <w:t xml:space="preserve">Scott, Joan, (1999) “El género: una categoría útil para el análisis histórico”, en: </w:t>
      </w:r>
      <w:proofErr w:type="spellStart"/>
      <w:r w:rsidRPr="00CA042F">
        <w:rPr>
          <w:rFonts w:eastAsia="Times New Roman" w:cs="Times New Roman"/>
        </w:rPr>
        <w:t>Marysa</w:t>
      </w:r>
      <w:proofErr w:type="spellEnd"/>
      <w:r>
        <w:rPr>
          <w:rFonts w:eastAsia="Times New Roman" w:cs="Times New Roman"/>
        </w:rPr>
        <w:t xml:space="preserve"> </w:t>
      </w:r>
      <w:r w:rsidRPr="00CA042F">
        <w:rPr>
          <w:rFonts w:eastAsia="Times New Roman" w:cs="Times New Roman"/>
        </w:rPr>
        <w:t xml:space="preserve">Navarro y Catherine R. </w:t>
      </w:r>
      <w:proofErr w:type="spellStart"/>
      <w:r w:rsidRPr="00CA042F">
        <w:rPr>
          <w:rFonts w:eastAsia="Times New Roman" w:cs="Times New Roman"/>
        </w:rPr>
        <w:t>Stimpson</w:t>
      </w:r>
      <w:proofErr w:type="spellEnd"/>
      <w:r w:rsidRPr="00CA042F">
        <w:rPr>
          <w:rFonts w:eastAsia="Times New Roman" w:cs="Times New Roman"/>
        </w:rPr>
        <w:t xml:space="preserve">, </w:t>
      </w:r>
      <w:r w:rsidRPr="00CA042F">
        <w:rPr>
          <w:rFonts w:eastAsia="Times New Roman" w:cs="Times New Roman"/>
          <w:i/>
          <w:iCs/>
        </w:rPr>
        <w:t>Sexualidad, género y roles sexuales</w:t>
      </w:r>
      <w:r w:rsidRPr="00CA042F">
        <w:rPr>
          <w:rFonts w:eastAsia="Times New Roman" w:cs="Times New Roman"/>
        </w:rPr>
        <w:t>, Fondo de Cultura</w:t>
      </w:r>
      <w:r>
        <w:rPr>
          <w:rFonts w:eastAsia="Times New Roman" w:cs="Times New Roman"/>
        </w:rPr>
        <w:t xml:space="preserve"> </w:t>
      </w:r>
      <w:r w:rsidRPr="00CA042F">
        <w:rPr>
          <w:rFonts w:eastAsia="Times New Roman" w:cs="Times New Roman"/>
        </w:rPr>
        <w:t>Económica, Buenos Aires.</w:t>
      </w:r>
    </w:p>
    <w:p w:rsidR="00CA042F" w:rsidP="00CA042F" w:rsidRDefault="00CA042F" w14:paraId="4750FB52" w14:textId="77777777">
      <w:pPr>
        <w:ind w:left="709" w:hanging="709"/>
        <w:jc w:val="both"/>
        <w:rPr>
          <w:rFonts w:eastAsia="Times New Roman" w:cs="Times New Roman"/>
        </w:rPr>
      </w:pPr>
      <w:r w:rsidRPr="00CA042F">
        <w:rPr>
          <w:rFonts w:eastAsia="Times New Roman" w:cs="Times New Roman"/>
        </w:rPr>
        <w:t xml:space="preserve">Shock, Susy, </w:t>
      </w:r>
      <w:r w:rsidRPr="00CA042F">
        <w:rPr>
          <w:rFonts w:eastAsia="Times New Roman" w:cs="Times New Roman"/>
          <w:i/>
          <w:iCs/>
        </w:rPr>
        <w:t xml:space="preserve">Yo Monstruo Mío, </w:t>
      </w:r>
      <w:r w:rsidRPr="00CA042F">
        <w:rPr>
          <w:rFonts w:eastAsia="Times New Roman" w:cs="Times New Roman"/>
        </w:rPr>
        <w:t>2008.</w:t>
      </w:r>
      <w:r>
        <w:rPr>
          <w:rFonts w:eastAsia="Times New Roman" w:cs="Times New Roman"/>
        </w:rPr>
        <w:t xml:space="preserve"> </w:t>
      </w:r>
    </w:p>
    <w:p w:rsidR="00CA042F" w:rsidP="00CA042F" w:rsidRDefault="00CA042F" w14:paraId="38063768" w14:textId="77777777">
      <w:pPr>
        <w:ind w:left="709" w:hanging="709"/>
        <w:jc w:val="both"/>
        <w:rPr>
          <w:rFonts w:eastAsia="Times New Roman" w:cs="Times New Roman"/>
        </w:rPr>
      </w:pPr>
      <w:r w:rsidRPr="00CA042F">
        <w:rPr>
          <w:rFonts w:eastAsia="Times New Roman" w:cs="Times New Roman"/>
        </w:rPr>
        <w:t>Tudela S., Antonio (2012), “Heteronormatividad y cuerpos sexuado: los placeres de la</w:t>
      </w:r>
      <w:r>
        <w:rPr>
          <w:rFonts w:eastAsia="Times New Roman" w:cs="Times New Roman"/>
        </w:rPr>
        <w:t xml:space="preserve"> </w:t>
      </w:r>
      <w:r w:rsidRPr="00CA042F">
        <w:rPr>
          <w:rFonts w:eastAsia="Times New Roman" w:cs="Times New Roman"/>
        </w:rPr>
        <w:t xml:space="preserve">familia”, en </w:t>
      </w:r>
      <w:r w:rsidRPr="00CA042F">
        <w:rPr>
          <w:rFonts w:eastAsia="Times New Roman" w:cs="Times New Roman"/>
          <w:i/>
          <w:iCs/>
        </w:rPr>
        <w:t>Nuevo Itinerario, Revista Digital de filosofía</w:t>
      </w:r>
      <w:r w:rsidRPr="00CA042F">
        <w:rPr>
          <w:rFonts w:eastAsia="Times New Roman" w:cs="Times New Roman"/>
        </w:rPr>
        <w:t>, Vol. 7, Número VII, Resistencia,</w:t>
      </w:r>
      <w:r>
        <w:rPr>
          <w:rFonts w:eastAsia="Times New Roman" w:cs="Times New Roman"/>
        </w:rPr>
        <w:t xml:space="preserve"> </w:t>
      </w:r>
      <w:r w:rsidRPr="00CA042F">
        <w:rPr>
          <w:rFonts w:eastAsia="Times New Roman" w:cs="Times New Roman"/>
        </w:rPr>
        <w:t>Chaco, Argentina.</w:t>
      </w:r>
    </w:p>
    <w:p w:rsidR="00CA042F" w:rsidP="00CA042F" w:rsidRDefault="00CA042F" w14:paraId="405B0A39" w14:textId="3B02F1C7">
      <w:pPr>
        <w:ind w:left="709" w:hanging="709"/>
        <w:jc w:val="both"/>
        <w:rPr>
          <w:rFonts w:eastAsia="Times New Roman" w:cs="Times New Roman"/>
        </w:rPr>
      </w:pPr>
      <w:proofErr w:type="spellStart"/>
      <w:r w:rsidRPr="00CA042F">
        <w:rPr>
          <w:rFonts w:eastAsia="Times New Roman" w:cs="Times New Roman"/>
        </w:rPr>
        <w:t>Urteaga</w:t>
      </w:r>
      <w:proofErr w:type="spellEnd"/>
      <w:r w:rsidRPr="00CA042F">
        <w:rPr>
          <w:rFonts w:eastAsia="Times New Roman" w:cs="Times New Roman"/>
        </w:rPr>
        <w:t xml:space="preserve">, </w:t>
      </w:r>
      <w:proofErr w:type="spellStart"/>
      <w:r w:rsidRPr="00CA042F">
        <w:rPr>
          <w:rFonts w:eastAsia="Times New Roman" w:cs="Times New Roman"/>
        </w:rPr>
        <w:t>Eguzki</w:t>
      </w:r>
      <w:proofErr w:type="spellEnd"/>
      <w:r w:rsidRPr="00CA042F">
        <w:rPr>
          <w:rFonts w:eastAsia="Times New Roman" w:cs="Times New Roman"/>
        </w:rPr>
        <w:t>, (2009), “Orígenes e inicios de los estudios culturales”, en: Gaceta de</w:t>
      </w:r>
      <w:r>
        <w:rPr>
          <w:rFonts w:eastAsia="Times New Roman" w:cs="Times New Roman"/>
        </w:rPr>
        <w:t xml:space="preserve"> </w:t>
      </w:r>
      <w:r w:rsidRPr="00CA042F">
        <w:rPr>
          <w:rFonts w:eastAsia="Times New Roman" w:cs="Times New Roman"/>
        </w:rPr>
        <w:t xml:space="preserve">Antropología No. 25, </w:t>
      </w:r>
      <w:hyperlink w:history="1" r:id="rId9">
        <w:r w:rsidRPr="00CA042F">
          <w:rPr>
            <w:rStyle w:val="Hipervnculo"/>
            <w:rFonts w:eastAsia="Times New Roman" w:cs="Times New Roman"/>
          </w:rPr>
          <w:t>http://www.ugr.es/~pwlac/G25_23Eguzki_Urteaga.html</w:t>
        </w:r>
      </w:hyperlink>
    </w:p>
    <w:p w:rsidR="00145F68" w:rsidP="00145F68" w:rsidRDefault="00145F68" w14:paraId="7F5B43E0" w14:textId="77777777">
      <w:pPr>
        <w:ind w:left="709" w:hanging="709"/>
        <w:jc w:val="both"/>
        <w:rPr>
          <w:rFonts w:eastAsia="Times New Roman" w:cs="Times New Roman"/>
        </w:rPr>
      </w:pPr>
      <w:r w:rsidRPr="00CA042F">
        <w:rPr>
          <w:rFonts w:eastAsia="Times New Roman" w:cs="Times New Roman"/>
        </w:rPr>
        <w:t>Valverde, Clara. “Poner el cuerpo ¿Repolitización a través de la empatía radical?”. En De la</w:t>
      </w:r>
      <w:r>
        <w:rPr>
          <w:rFonts w:eastAsia="Times New Roman" w:cs="Times New Roman"/>
        </w:rPr>
        <w:t xml:space="preserve"> </w:t>
      </w:r>
      <w:proofErr w:type="spellStart"/>
      <w:r w:rsidRPr="00CA042F">
        <w:rPr>
          <w:rFonts w:eastAsia="Times New Roman" w:cs="Times New Roman"/>
        </w:rPr>
        <w:t>necropolítica</w:t>
      </w:r>
      <w:proofErr w:type="spellEnd"/>
      <w:r w:rsidRPr="00CA042F">
        <w:rPr>
          <w:rFonts w:eastAsia="Times New Roman" w:cs="Times New Roman"/>
        </w:rPr>
        <w:t xml:space="preserve"> neoliberal a la empatía radical. Barcelona: Icaria-Más madera, 2015: 123-134.</w:t>
      </w:r>
    </w:p>
    <w:p w:rsidRPr="00CA042F" w:rsidR="00145F68" w:rsidP="00145F68" w:rsidRDefault="00145F68" w14:paraId="100278FB" w14:textId="3E428380">
      <w:pPr>
        <w:ind w:left="709" w:hanging="709"/>
        <w:jc w:val="both"/>
        <w:rPr>
          <w:rFonts w:eastAsia="Times New Roman" w:cs="Times New Roman"/>
        </w:rPr>
      </w:pPr>
      <w:r w:rsidRPr="00CA042F">
        <w:rPr>
          <w:rFonts w:eastAsia="Times New Roman" w:cs="Times New Roman"/>
        </w:rPr>
        <w:t>Vila, M. P. (2012). Militancia política territorial: Subjetividad, identidad y acciones colectivas.</w:t>
      </w:r>
      <w:r>
        <w:rPr>
          <w:rFonts w:eastAsia="Times New Roman" w:cs="Times New Roman"/>
        </w:rPr>
        <w:t xml:space="preserve"> </w:t>
      </w:r>
      <w:r w:rsidRPr="00CA042F">
        <w:rPr>
          <w:rFonts w:eastAsia="Times New Roman" w:cs="Times New Roman"/>
        </w:rPr>
        <w:t>Alethia. 2(4), pp. 1-19.</w:t>
      </w:r>
    </w:p>
    <w:p w:rsidR="00145F68" w:rsidP="00CA042F" w:rsidRDefault="00145F68" w14:paraId="6F0212B2" w14:textId="77777777">
      <w:pPr>
        <w:ind w:left="709" w:hanging="709"/>
        <w:jc w:val="both"/>
        <w:rPr>
          <w:rFonts w:eastAsia="Times New Roman" w:cs="Times New Roman"/>
        </w:rPr>
      </w:pPr>
    </w:p>
    <w:p w:rsidR="00CA042F" w:rsidP="00CA042F" w:rsidRDefault="00CA042F" w14:paraId="63CA58DF" w14:textId="77777777">
      <w:pPr>
        <w:ind w:left="709" w:hanging="709"/>
        <w:jc w:val="both"/>
        <w:rPr>
          <w:rFonts w:eastAsia="Times New Roman" w:cs="Times New Roman"/>
        </w:rPr>
      </w:pPr>
      <w:r w:rsidRPr="00CA042F">
        <w:rPr>
          <w:rFonts w:eastAsia="Times New Roman" w:cs="Times New Roman"/>
        </w:rPr>
        <w:t xml:space="preserve">Viveros </w:t>
      </w:r>
      <w:proofErr w:type="spellStart"/>
      <w:r w:rsidRPr="00CA042F">
        <w:rPr>
          <w:rFonts w:eastAsia="Times New Roman" w:cs="Times New Roman"/>
        </w:rPr>
        <w:t>Vigoya</w:t>
      </w:r>
      <w:proofErr w:type="spellEnd"/>
      <w:r w:rsidRPr="00CA042F">
        <w:rPr>
          <w:rFonts w:eastAsia="Times New Roman" w:cs="Times New Roman"/>
        </w:rPr>
        <w:t xml:space="preserve">, Mara (2009), “La sexualización de la raza y la </w:t>
      </w:r>
      <w:proofErr w:type="spellStart"/>
      <w:r w:rsidRPr="00CA042F">
        <w:rPr>
          <w:rFonts w:eastAsia="Times New Roman" w:cs="Times New Roman"/>
        </w:rPr>
        <w:t>racialización</w:t>
      </w:r>
      <w:proofErr w:type="spellEnd"/>
      <w:r w:rsidRPr="00CA042F">
        <w:rPr>
          <w:rFonts w:eastAsia="Times New Roman" w:cs="Times New Roman"/>
        </w:rPr>
        <w:t xml:space="preserve"> de la</w:t>
      </w:r>
      <w:r>
        <w:rPr>
          <w:rFonts w:eastAsia="Times New Roman" w:cs="Times New Roman"/>
        </w:rPr>
        <w:t xml:space="preserve"> </w:t>
      </w:r>
      <w:r w:rsidRPr="00CA042F">
        <w:rPr>
          <w:rFonts w:eastAsia="Times New Roman" w:cs="Times New Roman"/>
        </w:rPr>
        <w:t xml:space="preserve">sexualidad en el contexto latinoamericano actual”. </w:t>
      </w:r>
      <w:r w:rsidRPr="00CA042F">
        <w:rPr>
          <w:rFonts w:eastAsia="Times New Roman" w:cs="Times New Roman"/>
          <w:i/>
          <w:iCs/>
        </w:rPr>
        <w:t>Revista latinoamericana de estudios de</w:t>
      </w:r>
      <w:r>
        <w:rPr>
          <w:rFonts w:eastAsia="Times New Roman" w:cs="Times New Roman"/>
        </w:rPr>
        <w:t xml:space="preserve"> </w:t>
      </w:r>
      <w:r w:rsidRPr="00CA042F">
        <w:rPr>
          <w:rFonts w:eastAsia="Times New Roman" w:cs="Times New Roman"/>
          <w:i/>
          <w:iCs/>
        </w:rPr>
        <w:t>familia, 1, 63-81.</w:t>
      </w:r>
      <w:r>
        <w:rPr>
          <w:rFonts w:eastAsia="Times New Roman" w:cs="Times New Roman"/>
        </w:rPr>
        <w:t xml:space="preserve"> </w:t>
      </w:r>
    </w:p>
    <w:p w:rsidR="00145F68" w:rsidP="00145F68" w:rsidRDefault="00145F68" w14:paraId="04B19E68" w14:textId="310C9659">
      <w:pPr>
        <w:ind w:left="709" w:hanging="709"/>
        <w:jc w:val="both"/>
        <w:rPr>
          <w:rFonts w:eastAsia="Times New Roman" w:cs="Times New Roman"/>
        </w:rPr>
      </w:pPr>
      <w:r w:rsidRPr="00CA042F">
        <w:rPr>
          <w:rFonts w:eastAsia="Times New Roman" w:cs="Times New Roman"/>
        </w:rPr>
        <w:t>Walsh, C (2013). Lo pedagógico y lo decolonial: entretejiendo caminos En: Pedagogías decoloniales.</w:t>
      </w:r>
      <w:r>
        <w:rPr>
          <w:rFonts w:eastAsia="Times New Roman" w:cs="Times New Roman"/>
        </w:rPr>
        <w:t xml:space="preserve"> </w:t>
      </w:r>
      <w:r w:rsidRPr="00CA042F">
        <w:rPr>
          <w:rFonts w:eastAsia="Times New Roman" w:cs="Times New Roman"/>
        </w:rPr>
        <w:t>Prácticas insurgentes de resistir, (re) existir y (re) vivir. Tomo I</w:t>
      </w:r>
    </w:p>
    <w:p w:rsidR="00CA042F" w:rsidP="00CA042F" w:rsidRDefault="00CA042F" w14:paraId="7C3516AF" w14:textId="7800A965">
      <w:pPr>
        <w:ind w:left="709" w:hanging="709"/>
        <w:jc w:val="both"/>
        <w:rPr>
          <w:rFonts w:eastAsia="Times New Roman" w:cs="Times New Roman"/>
          <w:i/>
          <w:iCs/>
        </w:rPr>
      </w:pPr>
      <w:proofErr w:type="spellStart"/>
      <w:r w:rsidRPr="00CA042F">
        <w:rPr>
          <w:rFonts w:eastAsia="Times New Roman" w:cs="Times New Roman"/>
        </w:rPr>
        <w:t>Wittig</w:t>
      </w:r>
      <w:proofErr w:type="spellEnd"/>
      <w:r w:rsidRPr="00CA042F">
        <w:rPr>
          <w:rFonts w:eastAsia="Times New Roman" w:cs="Times New Roman"/>
        </w:rPr>
        <w:t xml:space="preserve">, Monique, (2006), “El pensamiento heterosexual”, en </w:t>
      </w:r>
      <w:r w:rsidRPr="00CA042F">
        <w:rPr>
          <w:rFonts w:eastAsia="Times New Roman" w:cs="Times New Roman"/>
          <w:i/>
          <w:iCs/>
        </w:rPr>
        <w:t>El pensamiento</w:t>
      </w:r>
      <w:r>
        <w:rPr>
          <w:rFonts w:eastAsia="Times New Roman" w:cs="Times New Roman"/>
          <w:i/>
          <w:iCs/>
        </w:rPr>
        <w:t xml:space="preserve"> </w:t>
      </w:r>
      <w:r w:rsidRPr="00CA042F">
        <w:rPr>
          <w:rFonts w:eastAsia="Times New Roman" w:cs="Times New Roman"/>
          <w:i/>
          <w:iCs/>
        </w:rPr>
        <w:t>heterosexual y</w:t>
      </w:r>
      <w:r>
        <w:rPr>
          <w:rFonts w:eastAsia="Times New Roman" w:cs="Times New Roman"/>
          <w:i/>
          <w:iCs/>
        </w:rPr>
        <w:t xml:space="preserve"> </w:t>
      </w:r>
      <w:r w:rsidRPr="00CA042F">
        <w:rPr>
          <w:rFonts w:eastAsia="Times New Roman" w:cs="Times New Roman"/>
          <w:i/>
          <w:iCs/>
        </w:rPr>
        <w:t xml:space="preserve">otros ensayos, Barcelona, </w:t>
      </w:r>
      <w:proofErr w:type="spellStart"/>
      <w:r w:rsidRPr="00CA042F">
        <w:rPr>
          <w:rFonts w:eastAsia="Times New Roman" w:cs="Times New Roman"/>
          <w:i/>
          <w:iCs/>
        </w:rPr>
        <w:t>Egales</w:t>
      </w:r>
      <w:proofErr w:type="spellEnd"/>
      <w:r w:rsidRPr="00CA042F">
        <w:rPr>
          <w:rFonts w:eastAsia="Times New Roman" w:cs="Times New Roman"/>
          <w:i/>
          <w:iCs/>
        </w:rPr>
        <w:t>. Traducción de Javier Sáenz y Paco Vidarte.</w:t>
      </w:r>
    </w:p>
    <w:p w:rsidR="00887FF8" w:rsidP="00145F68" w:rsidRDefault="00887FF8" w14:paraId="5542DB2E" w14:textId="6C356A8E">
      <w:pPr>
        <w:jc w:val="both"/>
        <w:rPr>
          <w:rFonts w:eastAsia="Times New Roman" w:cs="Times New Roman"/>
        </w:rPr>
      </w:pPr>
    </w:p>
    <w:sectPr w:rsidR="00887FF8" w:rsidSect="00230CB9">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080" w:bottom="851" w:left="1080"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2569" w:rsidRDefault="00292569" w14:paraId="045CB06A" w14:textId="77777777">
      <w:r>
        <w:separator/>
      </w:r>
    </w:p>
  </w:endnote>
  <w:endnote w:type="continuationSeparator" w:id="0">
    <w:p w:rsidR="00292569" w:rsidRDefault="00292569" w14:paraId="5FCD2A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9A7" w:rsidRDefault="007519A7" w14:paraId="5EAD2FD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E7B11" w:rsidR="00BC7637" w:rsidRDefault="00BC7637" w14:paraId="5023141B" w14:textId="77777777">
    <w:pPr>
      <w:pStyle w:val="Piedepgina"/>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9A7" w:rsidRDefault="007519A7" w14:paraId="64FB2A1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2569" w:rsidRDefault="00292569" w14:paraId="5770DDF3" w14:textId="77777777">
      <w:r>
        <w:separator/>
      </w:r>
    </w:p>
  </w:footnote>
  <w:footnote w:type="continuationSeparator" w:id="0">
    <w:p w:rsidR="00292569" w:rsidRDefault="00292569" w14:paraId="292071B8" w14:textId="77777777">
      <w:r>
        <w:continuationSeparator/>
      </w:r>
    </w:p>
  </w:footnote>
  <w:footnote w:id="1">
    <w:p w:rsidRPr="0022697C" w:rsidR="0022697C" w:rsidRDefault="0022697C" w14:paraId="68922C46" w14:textId="5A7A35C7">
      <w:pPr>
        <w:pStyle w:val="Textonotapie"/>
        <w:rPr>
          <w:lang w:val="es-ES_tradnl"/>
        </w:rPr>
      </w:pPr>
      <w:r>
        <w:rPr>
          <w:rStyle w:val="Refdenotaalpie"/>
        </w:rPr>
        <w:footnoteRef/>
      </w:r>
      <w:r w:rsidRPr="0022697C">
        <w:rPr>
          <w:lang w:val="es-CO"/>
        </w:rPr>
        <w:t xml:space="preserve"> </w:t>
      </w:r>
      <w:proofErr w:type="spellStart"/>
      <w:r w:rsidRPr="0022697C">
        <w:rPr>
          <w:lang w:val="es-CO"/>
        </w:rPr>
        <w:t>Reificar</w:t>
      </w:r>
      <w:proofErr w:type="spellEnd"/>
      <w:r w:rsidRPr="0022697C">
        <w:rPr>
          <w:lang w:val="es-CO"/>
        </w:rPr>
        <w:t xml:space="preserve"> es el proceso mediante el cual se trata algo abstracto</w:t>
      </w:r>
      <w:r w:rsidRPr="0022697C">
        <w:rPr>
          <w:lang w:val="es-CO"/>
        </w:rPr>
        <w:t xml:space="preserve"> </w:t>
      </w:r>
      <w:r w:rsidRPr="0022697C">
        <w:rPr>
          <w:lang w:val="es-CO"/>
        </w:rPr>
        <w:t>—</w:t>
      </w:r>
      <w:r w:rsidRPr="0022697C">
        <w:rPr>
          <w:lang w:val="es-CO"/>
        </w:rPr>
        <w:t xml:space="preserve"> </w:t>
      </w:r>
      <w:r w:rsidRPr="0022697C">
        <w:rPr>
          <w:lang w:val="es-CO"/>
        </w:rPr>
        <w:t>como relaciones sociales, conceptos o procesos históricos—</w:t>
      </w:r>
      <w:r>
        <w:rPr>
          <w:lang w:val="es-CO"/>
        </w:rPr>
        <w:t xml:space="preserve"> </w:t>
      </w:r>
      <w:r w:rsidRPr="0022697C">
        <w:rPr>
          <w:lang w:val="es-CO"/>
        </w:rPr>
        <w:t>como si fuera un objeto concreto y tangible, olvidando o ignorando su carácter dinámico, contextual y construido socialmente. En otras palabras, implica fijar o solidificar una realidad compleja y fluida, reduciéndola a una entidad estática que aparenta tener una existencia independiente de las prácticas y relaciones que la generan</w:t>
      </w:r>
      <w:r>
        <w:rPr>
          <w:lang w:val="es-CO"/>
        </w:rPr>
        <w:t xml:space="preserve">, pudiendo </w:t>
      </w:r>
      <w:r w:rsidRPr="0022697C">
        <w:rPr>
          <w:lang w:val="es-CO"/>
        </w:rPr>
        <w:t>limitar la comprensión de los fenómenos sociales, pues oculta las múltiples dimensiones y la naturaleza en constante cambio de las relaciones de poder y significado.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9A7" w:rsidRDefault="007519A7" w14:paraId="54E88384"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584"/>
      <w:gridCol w:w="4888"/>
      <w:gridCol w:w="2598"/>
    </w:tblGrid>
    <w:tr w:rsidRPr="00DC0BC2" w:rsidR="00FD3358" w:rsidTr="008866D7" w14:paraId="03A8F602" w14:textId="77777777">
      <w:trPr>
        <w:trHeight w:val="1557"/>
      </w:trPr>
      <w:tc>
        <w:tcPr>
          <w:tcW w:w="1283" w:type="pct"/>
          <w:vAlign w:val="center"/>
        </w:tcPr>
        <w:p w:rsidRPr="00DC0BC2" w:rsidR="00FD3358" w:rsidP="001456F2" w:rsidRDefault="000B65BB" w14:paraId="1F3B1409" w14:textId="77777777">
          <w:pPr>
            <w:jc w:val="center"/>
            <w:rPr>
              <w:rFonts w:ascii="Tahoma" w:hAnsi="Tahoma"/>
              <w:lang w:val="es-MX"/>
            </w:rPr>
          </w:pPr>
          <w:r w:rsidRPr="001B22D7">
            <w:rPr>
              <w:noProof/>
              <w:lang w:eastAsia="es-CO" w:bidi="ar-SA"/>
            </w:rPr>
            <w:drawing>
              <wp:inline distT="0" distB="0" distL="0" distR="0" wp14:anchorId="327702FF" wp14:editId="07777777">
                <wp:extent cx="1171575" cy="1143000"/>
                <wp:effectExtent l="0" t="0" r="0" b="0"/>
                <wp:docPr id="1" name="Imagen 2" descr="Descripción: Descripción: Descripción: Logo UN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Logo UNAU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tc>
      <w:tc>
        <w:tcPr>
          <w:tcW w:w="2427" w:type="pct"/>
          <w:vAlign w:val="center"/>
        </w:tcPr>
        <w:p w:rsidRPr="00DC0BC2" w:rsidR="00FD3358" w:rsidP="00230CB9" w:rsidRDefault="002D3501" w14:paraId="6555CDA5" w14:textId="77777777">
          <w:pPr>
            <w:jc w:val="center"/>
            <w:rPr>
              <w:rFonts w:ascii="Tahoma" w:hAnsi="Tahoma"/>
              <w:b/>
              <w:lang w:val="es-MX"/>
            </w:rPr>
          </w:pPr>
          <w:r w:rsidRPr="00D003AA">
            <w:rPr>
              <w:rFonts w:ascii="Tahoma" w:hAnsi="Tahoma"/>
              <w:b/>
              <w:sz w:val="22"/>
              <w:szCs w:val="22"/>
              <w:lang w:val="es-MX"/>
            </w:rPr>
            <w:t xml:space="preserve">SOLICITUD PARA LA </w:t>
          </w:r>
          <w:r w:rsidRPr="00D003AA">
            <w:rPr>
              <w:rFonts w:ascii="Tahoma" w:hAnsi="Tahoma"/>
              <w:b/>
              <w:bCs/>
              <w:sz w:val="22"/>
              <w:szCs w:val="22"/>
            </w:rPr>
            <w:t>CREACIÓN</w:t>
          </w:r>
          <w:r w:rsidR="00230CB9">
            <w:rPr>
              <w:rFonts w:ascii="Tahoma" w:hAnsi="Tahoma"/>
              <w:b/>
              <w:bCs/>
              <w:sz w:val="22"/>
              <w:szCs w:val="22"/>
            </w:rPr>
            <w:t xml:space="preserve"> </w:t>
          </w:r>
          <w:r w:rsidRPr="00D003AA">
            <w:rPr>
              <w:rFonts w:ascii="Tahoma" w:hAnsi="Tahoma"/>
              <w:b/>
              <w:bCs/>
              <w:sz w:val="22"/>
              <w:szCs w:val="22"/>
            </w:rPr>
            <w:t xml:space="preserve">DE </w:t>
          </w:r>
          <w:r w:rsidR="00230CB9">
            <w:rPr>
              <w:rFonts w:ascii="Tahoma" w:hAnsi="Tahoma"/>
              <w:b/>
              <w:bCs/>
              <w:sz w:val="22"/>
              <w:szCs w:val="22"/>
            </w:rPr>
            <w:t xml:space="preserve">GRUPOS Y </w:t>
          </w:r>
          <w:r w:rsidRPr="00D003AA">
            <w:rPr>
              <w:rFonts w:ascii="Tahoma" w:hAnsi="Tahoma"/>
              <w:b/>
              <w:bCs/>
              <w:sz w:val="22"/>
              <w:szCs w:val="22"/>
            </w:rPr>
            <w:t xml:space="preserve">LÍNEAS DE INVESTIGACIÓN Y PARA LA </w:t>
          </w:r>
          <w:r w:rsidR="00230CB9">
            <w:rPr>
              <w:rFonts w:ascii="Tahoma" w:hAnsi="Tahoma"/>
              <w:b/>
              <w:bCs/>
              <w:sz w:val="22"/>
              <w:szCs w:val="22"/>
            </w:rPr>
            <w:t xml:space="preserve">REFORMULACIÓN DE LÍNEAS </w:t>
          </w:r>
          <w:r w:rsidRPr="00D003AA">
            <w:rPr>
              <w:rFonts w:ascii="Tahoma" w:hAnsi="Tahoma"/>
              <w:b/>
              <w:bCs/>
              <w:sz w:val="22"/>
              <w:szCs w:val="22"/>
            </w:rPr>
            <w:t>EN LA UNAULA</w:t>
          </w:r>
        </w:p>
      </w:tc>
      <w:tc>
        <w:tcPr>
          <w:tcW w:w="1290" w:type="pct"/>
          <w:vAlign w:val="center"/>
        </w:tcPr>
        <w:p w:rsidRPr="00DC0BC2" w:rsidR="00FD3358" w:rsidP="001456F2" w:rsidRDefault="00FD3358" w14:paraId="4EE107E6" w14:textId="77777777">
          <w:pPr>
            <w:jc w:val="center"/>
            <w:rPr>
              <w:rFonts w:ascii="Tahoma" w:hAnsi="Tahoma"/>
              <w:lang w:val="es-MX"/>
            </w:rPr>
          </w:pPr>
          <w:r>
            <w:rPr>
              <w:rFonts w:ascii="Tahoma" w:hAnsi="Tahoma"/>
              <w:lang w:val="es-MX"/>
            </w:rPr>
            <w:t>Código: FT-INV-001</w:t>
          </w:r>
        </w:p>
        <w:p w:rsidRPr="00DC0BC2" w:rsidR="00FD3358" w:rsidP="001456F2" w:rsidRDefault="00FD3358" w14:paraId="0D4EC15D" w14:textId="77777777">
          <w:pPr>
            <w:jc w:val="center"/>
            <w:rPr>
              <w:rFonts w:ascii="Tahoma" w:hAnsi="Tahoma"/>
              <w:lang w:val="es-MX"/>
            </w:rPr>
          </w:pPr>
          <w:r w:rsidRPr="00DC0BC2">
            <w:rPr>
              <w:rFonts w:ascii="Tahoma" w:hAnsi="Tahoma"/>
              <w:lang w:val="es-MX"/>
            </w:rPr>
            <w:t xml:space="preserve">Versión  </w:t>
          </w:r>
          <w:r w:rsidR="008866D7">
            <w:rPr>
              <w:rFonts w:ascii="Tahoma" w:hAnsi="Tahoma"/>
              <w:lang w:val="es-MX"/>
            </w:rPr>
            <w:t>2</w:t>
          </w:r>
        </w:p>
        <w:p w:rsidRPr="00DC0BC2" w:rsidR="00FD3358" w:rsidP="001456F2" w:rsidRDefault="00FD3358" w14:paraId="3E3BEB01" w14:textId="77777777">
          <w:pPr>
            <w:jc w:val="center"/>
            <w:rPr>
              <w:rFonts w:ascii="Tahoma" w:hAnsi="Tahoma"/>
              <w:lang w:val="es-MX"/>
            </w:rPr>
          </w:pPr>
          <w:r>
            <w:rPr>
              <w:rFonts w:ascii="Tahoma" w:hAnsi="Tahoma"/>
              <w:lang w:val="es-MX"/>
            </w:rPr>
            <w:t xml:space="preserve">Fecha </w:t>
          </w:r>
          <w:r w:rsidR="00230CB9">
            <w:rPr>
              <w:rFonts w:ascii="Tahoma" w:hAnsi="Tahoma"/>
              <w:lang w:val="es-MX"/>
            </w:rPr>
            <w:t>21/04/2016</w:t>
          </w:r>
        </w:p>
        <w:p w:rsidRPr="00DC0BC2" w:rsidR="00FD3358" w:rsidP="001456F2" w:rsidRDefault="00FD3358" w14:paraId="5C08EB65" w14:textId="77777777">
          <w:pPr>
            <w:jc w:val="center"/>
            <w:rPr>
              <w:rFonts w:ascii="Tahoma" w:hAnsi="Tahoma"/>
              <w:lang w:val="es-MX"/>
            </w:rPr>
          </w:pPr>
          <w:r w:rsidRPr="00DC0BC2">
            <w:rPr>
              <w:rFonts w:ascii="Arial" w:hAnsi="Arial" w:cs="Arial"/>
              <w:lang w:val="es-MX"/>
            </w:rPr>
            <w:t xml:space="preserve">Página </w:t>
          </w:r>
          <w:r w:rsidRPr="00DC0BC2">
            <w:rPr>
              <w:rFonts w:ascii="Arial" w:hAnsi="Arial" w:cs="Arial"/>
              <w:lang w:val="es-MX"/>
            </w:rPr>
            <w:fldChar w:fldCharType="begin"/>
          </w:r>
          <w:r w:rsidRPr="00DC0BC2">
            <w:rPr>
              <w:rFonts w:ascii="Arial" w:hAnsi="Arial" w:cs="Arial"/>
              <w:lang w:val="es-MX"/>
            </w:rPr>
            <w:instrText xml:space="preserve"> PAGE </w:instrText>
          </w:r>
          <w:r w:rsidRPr="00DC0BC2">
            <w:rPr>
              <w:rFonts w:ascii="Arial" w:hAnsi="Arial" w:cs="Arial"/>
              <w:lang w:val="es-MX"/>
            </w:rPr>
            <w:fldChar w:fldCharType="separate"/>
          </w:r>
          <w:r w:rsidR="00087ED4">
            <w:rPr>
              <w:rFonts w:ascii="Arial" w:hAnsi="Arial" w:cs="Arial"/>
              <w:noProof/>
              <w:lang w:val="es-MX"/>
            </w:rPr>
            <w:t>5</w:t>
          </w:r>
          <w:r w:rsidRPr="00DC0BC2">
            <w:rPr>
              <w:rFonts w:ascii="Arial" w:hAnsi="Arial" w:cs="Arial"/>
              <w:lang w:val="es-MX"/>
            </w:rPr>
            <w:fldChar w:fldCharType="end"/>
          </w:r>
          <w:r w:rsidRPr="00DC0BC2">
            <w:rPr>
              <w:rFonts w:ascii="Arial" w:hAnsi="Arial" w:cs="Arial"/>
              <w:lang w:val="es-MX"/>
            </w:rPr>
            <w:t xml:space="preserve"> de </w:t>
          </w:r>
          <w:r w:rsidRPr="00DC0BC2">
            <w:rPr>
              <w:rFonts w:ascii="Arial" w:hAnsi="Arial" w:cs="Arial"/>
              <w:lang w:val="es-MX"/>
            </w:rPr>
            <w:fldChar w:fldCharType="begin"/>
          </w:r>
          <w:r w:rsidRPr="00DC0BC2">
            <w:rPr>
              <w:rFonts w:ascii="Arial" w:hAnsi="Arial" w:cs="Arial"/>
              <w:lang w:val="es-MX"/>
            </w:rPr>
            <w:instrText xml:space="preserve"> NUMPAGES </w:instrText>
          </w:r>
          <w:r w:rsidRPr="00DC0BC2">
            <w:rPr>
              <w:rFonts w:ascii="Arial" w:hAnsi="Arial" w:cs="Arial"/>
              <w:lang w:val="es-MX"/>
            </w:rPr>
            <w:fldChar w:fldCharType="separate"/>
          </w:r>
          <w:r w:rsidR="00087ED4">
            <w:rPr>
              <w:rFonts w:ascii="Arial" w:hAnsi="Arial" w:cs="Arial"/>
              <w:noProof/>
              <w:lang w:val="es-MX"/>
            </w:rPr>
            <w:t>15</w:t>
          </w:r>
          <w:r w:rsidRPr="00DC0BC2">
            <w:rPr>
              <w:rFonts w:ascii="Arial" w:hAnsi="Arial" w:cs="Arial"/>
              <w:lang w:val="es-MX"/>
            </w:rPr>
            <w:fldChar w:fldCharType="end"/>
          </w:r>
        </w:p>
      </w:tc>
    </w:tr>
  </w:tbl>
  <w:p w:rsidR="00C71217" w:rsidRDefault="00C71217" w14:paraId="562C75D1"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9A7" w:rsidRDefault="007519A7" w14:paraId="06E4482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675a24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1d3154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1981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E11B7"/>
    <w:multiLevelType w:val="hybridMultilevel"/>
    <w:tmpl w:val="B3206AD8"/>
    <w:lvl w:ilvl="0" w:tplc="7D221822">
      <w:start w:val="3"/>
      <w:numFmt w:val="bullet"/>
      <w:lvlText w:val="-"/>
      <w:lvlJc w:val="left"/>
      <w:pPr>
        <w:ind w:left="720" w:hanging="360"/>
      </w:pPr>
      <w:rPr>
        <w:rFonts w:hint="default" w:ascii="Times New Roman" w:hAnsi="Times New Roman" w:eastAsia="Calibri" w:cs="Times New Roman"/>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8513A15"/>
    <w:multiLevelType w:val="hybridMultilevel"/>
    <w:tmpl w:val="DC6CDCD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2BFD3944"/>
    <w:multiLevelType w:val="hybridMultilevel"/>
    <w:tmpl w:val="F7B0D4FA"/>
    <w:lvl w:ilvl="0" w:tplc="FFFFFFFF">
      <w:start w:val="3"/>
      <w:numFmt w:val="bullet"/>
      <w:lvlText w:val="-"/>
      <w:lvlJc w:val="left"/>
      <w:pPr>
        <w:ind w:left="720" w:hanging="360"/>
      </w:pPr>
      <w:rPr>
        <w:rFonts w:hint="default" w:ascii="Times New Roman" w:hAnsi="Times New Roman" w:eastAsia="Calibri" w:cs="Times New Roman"/>
      </w:rPr>
    </w:lvl>
    <w:lvl w:ilvl="1" w:tplc="4C887C98">
      <w:start w:val="1"/>
      <w:numFmt w:val="bullet"/>
      <w:lvlText w:val=""/>
      <w:lvlJc w:val="left"/>
      <w:pPr>
        <w:ind w:left="1440" w:hanging="360"/>
      </w:pPr>
      <w:rPr>
        <w:rFonts w:hint="default" w:ascii="Symbol" w:hAnsi="Symbol"/>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F5C0F0C"/>
    <w:multiLevelType w:val="hybridMultilevel"/>
    <w:tmpl w:val="2584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201D6"/>
    <w:multiLevelType w:val="hybridMultilevel"/>
    <w:tmpl w:val="5D946EFE"/>
    <w:lvl w:ilvl="0" w:tplc="7D221822">
      <w:start w:val="3"/>
      <w:numFmt w:val="bullet"/>
      <w:lvlText w:val="-"/>
      <w:lvlJc w:val="left"/>
      <w:pPr>
        <w:ind w:left="720" w:hanging="360"/>
      </w:pPr>
      <w:rPr>
        <w:rFonts w:hint="default" w:ascii="Times New Roman" w:hAnsi="Times New Roman" w:eastAsia="Calibri"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392173C2"/>
    <w:multiLevelType w:val="hybridMultilevel"/>
    <w:tmpl w:val="60D2D748"/>
    <w:lvl w:ilvl="0" w:tplc="8772C264">
      <w:start w:val="1"/>
      <w:numFmt w:val="none"/>
      <w:lvlText w:val="1. "/>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1B1B41"/>
    <w:multiLevelType w:val="hybridMultilevel"/>
    <w:tmpl w:val="B2D8888C"/>
    <w:lvl w:ilvl="0" w:tplc="FFFFFFFF">
      <w:start w:val="3"/>
      <w:numFmt w:val="bullet"/>
      <w:lvlText w:val="-"/>
      <w:lvlJc w:val="left"/>
      <w:pPr>
        <w:ind w:left="720" w:hanging="360"/>
      </w:pPr>
      <w:rPr>
        <w:rFonts w:hint="default" w:ascii="Times New Roman" w:hAnsi="Times New Roman" w:eastAsia="Calibri" w:cs="Times New Roman"/>
      </w:rPr>
    </w:lvl>
    <w:lvl w:ilvl="1" w:tplc="4C887C98">
      <w:start w:val="1"/>
      <w:numFmt w:val="bullet"/>
      <w:lvlText w:val=""/>
      <w:lvlJc w:val="left"/>
      <w:pPr>
        <w:ind w:left="1440" w:hanging="360"/>
      </w:pPr>
      <w:rPr>
        <w:rFonts w:hint="default" w:ascii="Symbol" w:hAnsi="Symbol"/>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4AE74701"/>
    <w:multiLevelType w:val="hybridMultilevel"/>
    <w:tmpl w:val="DAAEC9A4"/>
    <w:lvl w:ilvl="0" w:tplc="FFFFFFFF">
      <w:start w:val="3"/>
      <w:numFmt w:val="bullet"/>
      <w:lvlText w:val="-"/>
      <w:lvlJc w:val="left"/>
      <w:pPr>
        <w:ind w:left="720" w:hanging="360"/>
      </w:pPr>
      <w:rPr>
        <w:rFonts w:hint="default" w:ascii="Times New Roman" w:hAnsi="Times New Roman" w:eastAsia="Calibri" w:cs="Times New Roman"/>
      </w:rPr>
    </w:lvl>
    <w:lvl w:ilvl="1" w:tplc="4C887C98">
      <w:start w:val="1"/>
      <w:numFmt w:val="bullet"/>
      <w:lvlText w:val=""/>
      <w:lvlJc w:val="left"/>
      <w:pPr>
        <w:ind w:left="1440" w:hanging="360"/>
      </w:pPr>
      <w:rPr>
        <w:rFonts w:hint="default" w:ascii="Symbol" w:hAnsi="Symbol"/>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56537EA7"/>
    <w:multiLevelType w:val="hybridMultilevel"/>
    <w:tmpl w:val="0EAC2684"/>
    <w:lvl w:ilvl="0" w:tplc="FFFFFFFF">
      <w:start w:val="3"/>
      <w:numFmt w:val="bullet"/>
      <w:lvlText w:val="-"/>
      <w:lvlJc w:val="left"/>
      <w:pPr>
        <w:ind w:left="720" w:hanging="360"/>
      </w:pPr>
      <w:rPr>
        <w:rFonts w:hint="default" w:ascii="Times New Roman" w:hAnsi="Times New Roman" w:eastAsia="Calibri" w:cs="Times New Roman"/>
      </w:rPr>
    </w:lvl>
    <w:lvl w:ilvl="1" w:tplc="4C887C98">
      <w:start w:val="1"/>
      <w:numFmt w:val="bullet"/>
      <w:lvlText w:val=""/>
      <w:lvlJc w:val="left"/>
      <w:pPr>
        <w:ind w:left="1440" w:hanging="360"/>
      </w:pPr>
      <w:rPr>
        <w:rFonts w:hint="default" w:ascii="Symbol" w:hAnsi="Symbol"/>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5D72292F"/>
    <w:multiLevelType w:val="multilevel"/>
    <w:tmpl w:val="47C24C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1FA034F"/>
    <w:multiLevelType w:val="hybridMultilevel"/>
    <w:tmpl w:val="A6A8EB6E"/>
    <w:lvl w:ilvl="0" w:tplc="240A0001">
      <w:start w:val="7"/>
      <w:numFmt w:val="bullet"/>
      <w:lvlText w:val=""/>
      <w:lvlJc w:val="left"/>
      <w:pPr>
        <w:ind w:left="720" w:hanging="360"/>
      </w:pPr>
      <w:rPr>
        <w:rFonts w:hint="default" w:ascii="Symbol" w:hAnsi="Symbol" w:eastAsia="Times New Roman"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639519AB"/>
    <w:multiLevelType w:val="hybridMultilevel"/>
    <w:tmpl w:val="CCD0F392"/>
    <w:lvl w:ilvl="0" w:tplc="F9D89720">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3" w15:restartNumberingAfterBreak="0">
    <w:nsid w:val="727F37DE"/>
    <w:multiLevelType w:val="multilevel"/>
    <w:tmpl w:val="DFCAD86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7">
    <w:abstractNumId w:val="16"/>
  </w:num>
  <w:num w:numId="16">
    <w:abstractNumId w:val="15"/>
  </w:num>
  <w:num w:numId="15">
    <w:abstractNumId w:val="14"/>
  </w:num>
  <w:num w:numId="1" w16cid:durableId="1513303620">
    <w:abstractNumId w:val="0"/>
  </w:num>
  <w:num w:numId="2" w16cid:durableId="649678246">
    <w:abstractNumId w:val="13"/>
  </w:num>
  <w:num w:numId="3" w16cid:durableId="316765007">
    <w:abstractNumId w:val="4"/>
  </w:num>
  <w:num w:numId="4" w16cid:durableId="1036124477">
    <w:abstractNumId w:val="12"/>
  </w:num>
  <w:num w:numId="5" w16cid:durableId="314994024">
    <w:abstractNumId w:val="11"/>
  </w:num>
  <w:num w:numId="6" w16cid:durableId="6756585">
    <w:abstractNumId w:val="2"/>
  </w:num>
  <w:num w:numId="7" w16cid:durableId="1722095836">
    <w:abstractNumId w:val="5"/>
  </w:num>
  <w:num w:numId="8" w16cid:durableId="655379194">
    <w:abstractNumId w:val="10"/>
  </w:num>
  <w:num w:numId="9" w16cid:durableId="1334646299">
    <w:abstractNumId w:val="6"/>
  </w:num>
  <w:num w:numId="10" w16cid:durableId="979919291">
    <w:abstractNumId w:val="1"/>
  </w:num>
  <w:num w:numId="11" w16cid:durableId="850291041">
    <w:abstractNumId w:val="9"/>
  </w:num>
  <w:num w:numId="12" w16cid:durableId="654334891">
    <w:abstractNumId w:val="3"/>
  </w:num>
  <w:num w:numId="13" w16cid:durableId="647327403">
    <w:abstractNumId w:val="8"/>
  </w:num>
  <w:num w:numId="14" w16cid:durableId="122132992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15"/>
    <w:rsid w:val="00003932"/>
    <w:rsid w:val="00010483"/>
    <w:rsid w:val="00026100"/>
    <w:rsid w:val="00032553"/>
    <w:rsid w:val="00040B76"/>
    <w:rsid w:val="000441F4"/>
    <w:rsid w:val="000469D7"/>
    <w:rsid w:val="00047EE2"/>
    <w:rsid w:val="00067447"/>
    <w:rsid w:val="00075B7A"/>
    <w:rsid w:val="0008618B"/>
    <w:rsid w:val="00086871"/>
    <w:rsid w:val="00087ED4"/>
    <w:rsid w:val="00090A38"/>
    <w:rsid w:val="000A6C5F"/>
    <w:rsid w:val="000B65BB"/>
    <w:rsid w:val="000E6104"/>
    <w:rsid w:val="000E6E66"/>
    <w:rsid w:val="000E7B11"/>
    <w:rsid w:val="000E7E2B"/>
    <w:rsid w:val="00126B90"/>
    <w:rsid w:val="00137085"/>
    <w:rsid w:val="001456F2"/>
    <w:rsid w:val="00145F68"/>
    <w:rsid w:val="001479C5"/>
    <w:rsid w:val="0017393F"/>
    <w:rsid w:val="0017763A"/>
    <w:rsid w:val="0018123A"/>
    <w:rsid w:val="0019022E"/>
    <w:rsid w:val="001A6E12"/>
    <w:rsid w:val="001B04BB"/>
    <w:rsid w:val="001B242A"/>
    <w:rsid w:val="001C084D"/>
    <w:rsid w:val="001D72BC"/>
    <w:rsid w:val="001E1F48"/>
    <w:rsid w:val="001E40E9"/>
    <w:rsid w:val="001E6223"/>
    <w:rsid w:val="001F17D2"/>
    <w:rsid w:val="0021562C"/>
    <w:rsid w:val="0022697C"/>
    <w:rsid w:val="0023000C"/>
    <w:rsid w:val="00230CB9"/>
    <w:rsid w:val="00232F68"/>
    <w:rsid w:val="00233F05"/>
    <w:rsid w:val="002550E4"/>
    <w:rsid w:val="00276EB1"/>
    <w:rsid w:val="00292569"/>
    <w:rsid w:val="002C17DE"/>
    <w:rsid w:val="002D3501"/>
    <w:rsid w:val="003015D6"/>
    <w:rsid w:val="00302D08"/>
    <w:rsid w:val="00312B93"/>
    <w:rsid w:val="0033565E"/>
    <w:rsid w:val="003356ED"/>
    <w:rsid w:val="00366710"/>
    <w:rsid w:val="003721F3"/>
    <w:rsid w:val="00373D57"/>
    <w:rsid w:val="003761E2"/>
    <w:rsid w:val="003850B0"/>
    <w:rsid w:val="003A140D"/>
    <w:rsid w:val="003D0516"/>
    <w:rsid w:val="003D7CBC"/>
    <w:rsid w:val="003E3E2E"/>
    <w:rsid w:val="0040515A"/>
    <w:rsid w:val="004112F3"/>
    <w:rsid w:val="00415037"/>
    <w:rsid w:val="00415CE3"/>
    <w:rsid w:val="004275BE"/>
    <w:rsid w:val="004368AE"/>
    <w:rsid w:val="00452107"/>
    <w:rsid w:val="00463127"/>
    <w:rsid w:val="004705FD"/>
    <w:rsid w:val="0047258E"/>
    <w:rsid w:val="004A1833"/>
    <w:rsid w:val="004B1EB3"/>
    <w:rsid w:val="004B2AB9"/>
    <w:rsid w:val="004C7834"/>
    <w:rsid w:val="004D665E"/>
    <w:rsid w:val="00522EF2"/>
    <w:rsid w:val="00526334"/>
    <w:rsid w:val="00533189"/>
    <w:rsid w:val="00555AD9"/>
    <w:rsid w:val="00570E9E"/>
    <w:rsid w:val="0059149E"/>
    <w:rsid w:val="005C58EB"/>
    <w:rsid w:val="005D1E49"/>
    <w:rsid w:val="005D40FA"/>
    <w:rsid w:val="005D7F1F"/>
    <w:rsid w:val="00600763"/>
    <w:rsid w:val="00626AE6"/>
    <w:rsid w:val="00634535"/>
    <w:rsid w:val="00636AC8"/>
    <w:rsid w:val="00643777"/>
    <w:rsid w:val="00645967"/>
    <w:rsid w:val="006501E2"/>
    <w:rsid w:val="00674415"/>
    <w:rsid w:val="00691BE8"/>
    <w:rsid w:val="00692292"/>
    <w:rsid w:val="006B293E"/>
    <w:rsid w:val="006C3F2B"/>
    <w:rsid w:val="006D48FF"/>
    <w:rsid w:val="006D4D3C"/>
    <w:rsid w:val="00703813"/>
    <w:rsid w:val="00710E3F"/>
    <w:rsid w:val="0072031F"/>
    <w:rsid w:val="0072507F"/>
    <w:rsid w:val="00726DFD"/>
    <w:rsid w:val="0073240E"/>
    <w:rsid w:val="0073747F"/>
    <w:rsid w:val="007402A6"/>
    <w:rsid w:val="007519A7"/>
    <w:rsid w:val="00773063"/>
    <w:rsid w:val="00793458"/>
    <w:rsid w:val="007B68ED"/>
    <w:rsid w:val="007C7149"/>
    <w:rsid w:val="007D4E76"/>
    <w:rsid w:val="00852C3D"/>
    <w:rsid w:val="00864CC1"/>
    <w:rsid w:val="00866BB0"/>
    <w:rsid w:val="00877A82"/>
    <w:rsid w:val="008801CF"/>
    <w:rsid w:val="00884F66"/>
    <w:rsid w:val="008866D7"/>
    <w:rsid w:val="00887FF8"/>
    <w:rsid w:val="008B02AE"/>
    <w:rsid w:val="008B2D97"/>
    <w:rsid w:val="008B46F3"/>
    <w:rsid w:val="008E571B"/>
    <w:rsid w:val="008F3B78"/>
    <w:rsid w:val="00993147"/>
    <w:rsid w:val="009B71B0"/>
    <w:rsid w:val="009B790D"/>
    <w:rsid w:val="009D165F"/>
    <w:rsid w:val="009F3D12"/>
    <w:rsid w:val="00A375E7"/>
    <w:rsid w:val="00A40B53"/>
    <w:rsid w:val="00A42507"/>
    <w:rsid w:val="00A82947"/>
    <w:rsid w:val="00AF4D05"/>
    <w:rsid w:val="00AF7B8E"/>
    <w:rsid w:val="00B01D32"/>
    <w:rsid w:val="00B01E48"/>
    <w:rsid w:val="00B04615"/>
    <w:rsid w:val="00B13099"/>
    <w:rsid w:val="00B22F21"/>
    <w:rsid w:val="00B33AE9"/>
    <w:rsid w:val="00B44F60"/>
    <w:rsid w:val="00B51349"/>
    <w:rsid w:val="00B61FF2"/>
    <w:rsid w:val="00B65BCA"/>
    <w:rsid w:val="00B80F6B"/>
    <w:rsid w:val="00B91E42"/>
    <w:rsid w:val="00B92F92"/>
    <w:rsid w:val="00BC0489"/>
    <w:rsid w:val="00BC7637"/>
    <w:rsid w:val="00BD011B"/>
    <w:rsid w:val="00BD086F"/>
    <w:rsid w:val="00BD318F"/>
    <w:rsid w:val="00BD511C"/>
    <w:rsid w:val="00BE1ED6"/>
    <w:rsid w:val="00BE71AE"/>
    <w:rsid w:val="00C30337"/>
    <w:rsid w:val="00C42C00"/>
    <w:rsid w:val="00C67066"/>
    <w:rsid w:val="00C71217"/>
    <w:rsid w:val="00C85301"/>
    <w:rsid w:val="00C90880"/>
    <w:rsid w:val="00CA042F"/>
    <w:rsid w:val="00CA308B"/>
    <w:rsid w:val="00CA4AB0"/>
    <w:rsid w:val="00CC0A10"/>
    <w:rsid w:val="00CF1A15"/>
    <w:rsid w:val="00D012C8"/>
    <w:rsid w:val="00D07657"/>
    <w:rsid w:val="00D12A80"/>
    <w:rsid w:val="00D6080D"/>
    <w:rsid w:val="00D61B51"/>
    <w:rsid w:val="00DA4B02"/>
    <w:rsid w:val="00DB3FA4"/>
    <w:rsid w:val="00DB45E9"/>
    <w:rsid w:val="00DD7E15"/>
    <w:rsid w:val="00DE540A"/>
    <w:rsid w:val="00DF258F"/>
    <w:rsid w:val="00E160F7"/>
    <w:rsid w:val="00E21226"/>
    <w:rsid w:val="00E312C7"/>
    <w:rsid w:val="00E315AE"/>
    <w:rsid w:val="00E318BE"/>
    <w:rsid w:val="00E40AAC"/>
    <w:rsid w:val="00E64C0B"/>
    <w:rsid w:val="00E67BED"/>
    <w:rsid w:val="00E8453C"/>
    <w:rsid w:val="00EC76A6"/>
    <w:rsid w:val="00EF224C"/>
    <w:rsid w:val="00F03FF3"/>
    <w:rsid w:val="00F05AC4"/>
    <w:rsid w:val="00F2151D"/>
    <w:rsid w:val="00F24AFA"/>
    <w:rsid w:val="00F3106A"/>
    <w:rsid w:val="00F35A68"/>
    <w:rsid w:val="00F450D6"/>
    <w:rsid w:val="00F51409"/>
    <w:rsid w:val="00F51865"/>
    <w:rsid w:val="00F63D97"/>
    <w:rsid w:val="00F746BC"/>
    <w:rsid w:val="00F96272"/>
    <w:rsid w:val="00FA27A1"/>
    <w:rsid w:val="00FD3358"/>
    <w:rsid w:val="00FD5CE6"/>
    <w:rsid w:val="00FE4B66"/>
    <w:rsid w:val="00FE7DEF"/>
    <w:rsid w:val="00FF18B5"/>
    <w:rsid w:val="00FF2C46"/>
    <w:rsid w:val="00FF37CC"/>
    <w:rsid w:val="053E65AD"/>
    <w:rsid w:val="068AF975"/>
    <w:rsid w:val="0BF85646"/>
    <w:rsid w:val="0D4CE560"/>
    <w:rsid w:val="183FB150"/>
    <w:rsid w:val="1A58FFE9"/>
    <w:rsid w:val="1A75401D"/>
    <w:rsid w:val="345FD012"/>
    <w:rsid w:val="39F99BE7"/>
    <w:rsid w:val="3C1BC000"/>
    <w:rsid w:val="3E1A7554"/>
    <w:rsid w:val="423DC7A3"/>
    <w:rsid w:val="4573F194"/>
    <w:rsid w:val="47786026"/>
    <w:rsid w:val="5C62B920"/>
    <w:rsid w:val="653A707F"/>
    <w:rsid w:val="6749A05E"/>
    <w:rsid w:val="6E6A87F3"/>
    <w:rsid w:val="733F9010"/>
    <w:rsid w:val="7BE11CE6"/>
    <w:rsid w:val="7C2D6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D81517"/>
  <w15:docId w15:val="{32AAF027-0DB9-9E4E-9AFF-93F66FFC8B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3099"/>
    <w:pPr>
      <w:widowControl w:val="0"/>
      <w:suppressAutoHyphens/>
    </w:pPr>
    <w:rPr>
      <w:rFonts w:eastAsia="Lucida Sans Unicode" w:cs="Tahoma"/>
      <w:kern w:val="1"/>
      <w:sz w:val="24"/>
      <w:szCs w:val="24"/>
      <w:lang w:val="es-CO" w:eastAsia="hi-IN" w:bidi="hi-IN"/>
    </w:rPr>
  </w:style>
  <w:style w:type="paragraph" w:styleId="Ttulo1">
    <w:name w:val="heading 1"/>
    <w:basedOn w:val="Encabezado1"/>
    <w:next w:val="Textoindependiente"/>
    <w:qFormat/>
    <w:rsid w:val="00B13099"/>
    <w:pPr>
      <w:numPr>
        <w:numId w:val="1"/>
      </w:numPr>
      <w:jc w:val="both"/>
      <w:outlineLvl w:val="0"/>
    </w:pPr>
    <w:rPr>
      <w:rFonts w:ascii="Calibri" w:hAnsi="Calibri"/>
      <w:b/>
      <w:bCs/>
      <w:szCs w:val="32"/>
    </w:rPr>
  </w:style>
  <w:style w:type="paragraph" w:styleId="Ttulo4">
    <w:name w:val="heading 4"/>
    <w:basedOn w:val="Normal"/>
    <w:next w:val="Normal"/>
    <w:link w:val="Ttulo4Car"/>
    <w:uiPriority w:val="9"/>
    <w:semiHidden/>
    <w:unhideWhenUsed/>
    <w:qFormat/>
    <w:rsid w:val="007519A7"/>
    <w:pPr>
      <w:keepNext/>
      <w:keepLines/>
      <w:spacing w:before="40"/>
      <w:outlineLvl w:val="3"/>
    </w:pPr>
    <w:rPr>
      <w:rFonts w:cs="Mangal" w:asciiTheme="majorHAnsi" w:hAnsiTheme="majorHAnsi" w:eastAsiaTheme="majorEastAsia"/>
      <w:i/>
      <w:iCs/>
      <w:color w:val="2F5496" w:themeColor="accent1" w:themeShade="BF"/>
      <w:szCs w:val="21"/>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WW8Num2z0" w:customStyle="1">
    <w:name w:val="WW8Num2z0"/>
    <w:rsid w:val="00B13099"/>
    <w:rPr>
      <w:rFonts w:ascii="Symbol" w:hAnsi="Symbol" w:cs="OpenSymbol"/>
    </w:rPr>
  </w:style>
  <w:style w:type="character" w:styleId="WW8Num2z1" w:customStyle="1">
    <w:name w:val="WW8Num2z1"/>
    <w:rsid w:val="00B13099"/>
    <w:rPr>
      <w:rFonts w:ascii="OpenSymbol" w:hAnsi="OpenSymbol" w:cs="OpenSymbol"/>
    </w:rPr>
  </w:style>
  <w:style w:type="character" w:styleId="Absatz-Standardschriftart" w:customStyle="1">
    <w:name w:val="Absatz-Standardschriftart"/>
    <w:rsid w:val="00B13099"/>
  </w:style>
  <w:style w:type="character" w:styleId="WW-Absatz-Standardschriftart" w:customStyle="1">
    <w:name w:val="WW-Absatz-Standardschriftart"/>
    <w:rsid w:val="00B13099"/>
  </w:style>
  <w:style w:type="character" w:styleId="Carcterdenumeracin" w:customStyle="1">
    <w:name w:val="Carácter de numeración"/>
    <w:rsid w:val="00B13099"/>
  </w:style>
  <w:style w:type="character" w:styleId="Vietas" w:customStyle="1">
    <w:name w:val="Viñetas"/>
    <w:rsid w:val="00B13099"/>
    <w:rPr>
      <w:rFonts w:ascii="OpenSymbol" w:hAnsi="OpenSymbol" w:eastAsia="OpenSymbol" w:cs="OpenSymbol"/>
    </w:rPr>
  </w:style>
  <w:style w:type="paragraph" w:styleId="Encabezado1" w:customStyle="1">
    <w:name w:val="Encabezado1"/>
    <w:basedOn w:val="Normal"/>
    <w:next w:val="Textoindependiente"/>
    <w:rsid w:val="00B13099"/>
    <w:pPr>
      <w:keepNext/>
      <w:spacing w:before="240" w:after="120"/>
    </w:pPr>
    <w:rPr>
      <w:rFonts w:ascii="Arial" w:hAnsi="Arial"/>
      <w:sz w:val="28"/>
      <w:szCs w:val="28"/>
    </w:rPr>
  </w:style>
  <w:style w:type="paragraph" w:styleId="Textoindependiente">
    <w:name w:val="Body Text"/>
    <w:basedOn w:val="Normal"/>
    <w:rsid w:val="00B13099"/>
    <w:pPr>
      <w:spacing w:after="120"/>
    </w:pPr>
  </w:style>
  <w:style w:type="paragraph" w:styleId="Lista">
    <w:name w:val="List"/>
    <w:basedOn w:val="Textoindependiente"/>
    <w:rsid w:val="00B13099"/>
  </w:style>
  <w:style w:type="paragraph" w:styleId="Etiqueta" w:customStyle="1">
    <w:name w:val="Etiqueta"/>
    <w:basedOn w:val="Normal"/>
    <w:rsid w:val="00B13099"/>
    <w:pPr>
      <w:suppressLineNumbers/>
      <w:spacing w:before="120" w:after="120"/>
    </w:pPr>
    <w:rPr>
      <w:i/>
      <w:iCs/>
    </w:rPr>
  </w:style>
  <w:style w:type="paragraph" w:styleId="ndice" w:customStyle="1">
    <w:name w:val="Índice"/>
    <w:basedOn w:val="Normal"/>
    <w:rsid w:val="00B13099"/>
    <w:pPr>
      <w:suppressLineNumbers/>
    </w:pPr>
  </w:style>
  <w:style w:type="paragraph" w:styleId="Contenidodelatabla" w:customStyle="1">
    <w:name w:val="Contenido de la tabla"/>
    <w:basedOn w:val="Normal"/>
    <w:rsid w:val="00B13099"/>
    <w:pPr>
      <w:suppressLineNumbers/>
    </w:pPr>
  </w:style>
  <w:style w:type="paragraph" w:styleId="Encabezado">
    <w:name w:val="header"/>
    <w:basedOn w:val="Normal"/>
    <w:rsid w:val="00B13099"/>
    <w:pPr>
      <w:suppressLineNumbers/>
      <w:tabs>
        <w:tab w:val="center" w:pos="4986"/>
        <w:tab w:val="right" w:pos="9972"/>
      </w:tabs>
    </w:pPr>
  </w:style>
  <w:style w:type="paragraph" w:styleId="Piedepgina">
    <w:name w:val="footer"/>
    <w:basedOn w:val="Normal"/>
    <w:rsid w:val="00B13099"/>
    <w:pPr>
      <w:suppressLineNumbers/>
      <w:tabs>
        <w:tab w:val="center" w:pos="4986"/>
        <w:tab w:val="right" w:pos="9972"/>
      </w:tabs>
    </w:pPr>
  </w:style>
  <w:style w:type="paragraph" w:styleId="Encabezadodelatabla" w:customStyle="1">
    <w:name w:val="Encabezado de la tabla"/>
    <w:basedOn w:val="Contenidodelatabla"/>
    <w:rsid w:val="00B13099"/>
    <w:pPr>
      <w:jc w:val="center"/>
    </w:pPr>
    <w:rPr>
      <w:b/>
      <w:bCs/>
    </w:rPr>
  </w:style>
  <w:style w:type="table" w:styleId="Tablaconcuadrcula">
    <w:name w:val="Table Grid"/>
    <w:basedOn w:val="Tablanormal"/>
    <w:uiPriority w:val="59"/>
    <w:rsid w:val="00BC76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0515A"/>
    <w:pPr>
      <w:widowControl w:val="0"/>
      <w:suppressAutoHyphens/>
    </w:pPr>
    <w:rPr>
      <w:rFonts w:eastAsia="Lucida Sans Unicode" w:cs="Mangal"/>
      <w:kern w:val="1"/>
      <w:sz w:val="24"/>
      <w:szCs w:val="21"/>
      <w:lang w:val="es-CO" w:eastAsia="hi-IN" w:bidi="hi-IN"/>
    </w:rPr>
  </w:style>
  <w:style w:type="paragraph" w:styleId="Textonotapie">
    <w:name w:val="footnote text"/>
    <w:basedOn w:val="Normal"/>
    <w:link w:val="TextonotapieCar"/>
    <w:uiPriority w:val="99"/>
    <w:unhideWhenUsed/>
    <w:rsid w:val="0019022E"/>
    <w:pPr>
      <w:widowControl/>
      <w:suppressAutoHyphens w:val="0"/>
    </w:pPr>
    <w:rPr>
      <w:rFonts w:ascii="Arial" w:hAnsi="Arial" w:eastAsia="Times New Roman" w:cs="Times New Roman"/>
      <w:kern w:val="0"/>
      <w:sz w:val="20"/>
      <w:szCs w:val="20"/>
      <w:lang w:val="en-US" w:eastAsia="en-US" w:bidi="ar-SA"/>
    </w:rPr>
  </w:style>
  <w:style w:type="character" w:styleId="TextonotapieCar" w:customStyle="1">
    <w:name w:val="Texto nota pie Car"/>
    <w:link w:val="Textonotapie"/>
    <w:uiPriority w:val="99"/>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styleId="Textodeglobo">
    <w:name w:val="Balloon Text"/>
    <w:basedOn w:val="Normal"/>
    <w:link w:val="TextodegloboCar"/>
    <w:uiPriority w:val="99"/>
    <w:semiHidden/>
    <w:unhideWhenUsed/>
    <w:rsid w:val="00C42C00"/>
    <w:rPr>
      <w:rFonts w:ascii="Tahoma" w:hAnsi="Tahoma" w:cs="Mangal"/>
      <w:sz w:val="16"/>
      <w:szCs w:val="14"/>
    </w:rPr>
  </w:style>
  <w:style w:type="character" w:styleId="TextodegloboCar" w:customStyle="1">
    <w:name w:val="Texto de globo Car"/>
    <w:link w:val="Textodeglobo"/>
    <w:uiPriority w:val="99"/>
    <w:semiHidden/>
    <w:rsid w:val="00C42C00"/>
    <w:rPr>
      <w:rFonts w:ascii="Tahoma" w:hAnsi="Tahoma" w:eastAsia="Lucida Sans Unicode" w:cs="Mangal"/>
      <w:kern w:val="1"/>
      <w:sz w:val="16"/>
      <w:szCs w:val="14"/>
      <w:lang w:eastAsia="hi-IN" w:bidi="hi-IN"/>
    </w:rPr>
  </w:style>
  <w:style w:type="character" w:styleId="Hipervnculo">
    <w:name w:val="Hyperlink"/>
    <w:uiPriority w:val="99"/>
    <w:unhideWhenUsed/>
    <w:rsid w:val="008B2D97"/>
    <w:rPr>
      <w:color w:val="0000FF"/>
      <w:u w:val="single"/>
    </w:rPr>
  </w:style>
  <w:style w:type="paragraph" w:styleId="NormalWeb">
    <w:name w:val="Normal (Web)"/>
    <w:basedOn w:val="Normal"/>
    <w:uiPriority w:val="99"/>
    <w:unhideWhenUsed/>
    <w:rsid w:val="0008618B"/>
    <w:pPr>
      <w:widowControl/>
      <w:suppressAutoHyphens w:val="0"/>
      <w:spacing w:before="100" w:beforeAutospacing="1" w:after="100" w:afterAutospacing="1"/>
    </w:pPr>
    <w:rPr>
      <w:rFonts w:eastAsia="Times New Roman" w:cs="Times New Roman"/>
      <w:kern w:val="0"/>
      <w:lang w:eastAsia="es-CO" w:bidi="ar-SA"/>
    </w:rPr>
  </w:style>
  <w:style w:type="character" w:styleId="Ttulo4Car" w:customStyle="1">
    <w:name w:val="Título 4 Car"/>
    <w:basedOn w:val="Fuentedeprrafopredeter"/>
    <w:link w:val="Ttulo4"/>
    <w:uiPriority w:val="9"/>
    <w:semiHidden/>
    <w:rsid w:val="007519A7"/>
    <w:rPr>
      <w:rFonts w:cs="Mangal" w:asciiTheme="majorHAnsi" w:hAnsiTheme="majorHAnsi" w:eastAsiaTheme="majorEastAsia"/>
      <w:i/>
      <w:iCs/>
      <w:color w:val="2F5496" w:themeColor="accent1" w:themeShade="BF"/>
      <w:kern w:val="1"/>
      <w:sz w:val="24"/>
      <w:szCs w:val="21"/>
      <w:lang w:val="es-CO" w:eastAsia="hi-IN" w:bidi="hi-IN"/>
    </w:rPr>
  </w:style>
  <w:style w:type="character" w:styleId="Textoennegrita">
    <w:name w:val="Strong"/>
    <w:basedOn w:val="Fuentedeprrafopredeter"/>
    <w:uiPriority w:val="22"/>
    <w:qFormat/>
    <w:rsid w:val="007519A7"/>
    <w:rPr>
      <w:b/>
      <w:bCs/>
    </w:rPr>
  </w:style>
  <w:style w:type="character" w:styleId="Mencinsinresolver">
    <w:name w:val="Unresolved Mention"/>
    <w:basedOn w:val="Fuentedeprrafopredeter"/>
    <w:uiPriority w:val="99"/>
    <w:semiHidden/>
    <w:unhideWhenUsed/>
    <w:rsid w:val="00CA042F"/>
    <w:rPr>
      <w:color w:val="605E5C"/>
      <w:shd w:val="clear" w:color="auto" w:fill="E1DFDD"/>
    </w:rPr>
  </w:style>
  <w:style w:type="paragraph" w:styleId="ListParagraph">
    <w:uiPriority w:val="34"/>
    <w:name w:val="List Paragraph"/>
    <w:basedOn w:val="Normal"/>
    <w:qFormat/>
    <w:rsid w:val="423DC7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147">
      <w:bodyDiv w:val="1"/>
      <w:marLeft w:val="0"/>
      <w:marRight w:val="0"/>
      <w:marTop w:val="0"/>
      <w:marBottom w:val="0"/>
      <w:divBdr>
        <w:top w:val="none" w:sz="0" w:space="0" w:color="auto"/>
        <w:left w:val="none" w:sz="0" w:space="0" w:color="auto"/>
        <w:bottom w:val="none" w:sz="0" w:space="0" w:color="auto"/>
        <w:right w:val="none" w:sz="0" w:space="0" w:color="auto"/>
      </w:divBdr>
    </w:div>
    <w:div w:id="188492640">
      <w:bodyDiv w:val="1"/>
      <w:marLeft w:val="0"/>
      <w:marRight w:val="0"/>
      <w:marTop w:val="0"/>
      <w:marBottom w:val="0"/>
      <w:divBdr>
        <w:top w:val="none" w:sz="0" w:space="0" w:color="auto"/>
        <w:left w:val="none" w:sz="0" w:space="0" w:color="auto"/>
        <w:bottom w:val="none" w:sz="0" w:space="0" w:color="auto"/>
        <w:right w:val="none" w:sz="0" w:space="0" w:color="auto"/>
      </w:divBdr>
    </w:div>
    <w:div w:id="270861696">
      <w:bodyDiv w:val="1"/>
      <w:marLeft w:val="0"/>
      <w:marRight w:val="0"/>
      <w:marTop w:val="0"/>
      <w:marBottom w:val="0"/>
      <w:divBdr>
        <w:top w:val="none" w:sz="0" w:space="0" w:color="auto"/>
        <w:left w:val="none" w:sz="0" w:space="0" w:color="auto"/>
        <w:bottom w:val="none" w:sz="0" w:space="0" w:color="auto"/>
        <w:right w:val="none" w:sz="0" w:space="0" w:color="auto"/>
      </w:divBdr>
    </w:div>
    <w:div w:id="286086722">
      <w:bodyDiv w:val="1"/>
      <w:marLeft w:val="0"/>
      <w:marRight w:val="0"/>
      <w:marTop w:val="0"/>
      <w:marBottom w:val="0"/>
      <w:divBdr>
        <w:top w:val="none" w:sz="0" w:space="0" w:color="auto"/>
        <w:left w:val="none" w:sz="0" w:space="0" w:color="auto"/>
        <w:bottom w:val="none" w:sz="0" w:space="0" w:color="auto"/>
        <w:right w:val="none" w:sz="0" w:space="0" w:color="auto"/>
      </w:divBdr>
    </w:div>
    <w:div w:id="478151299">
      <w:bodyDiv w:val="1"/>
      <w:marLeft w:val="0"/>
      <w:marRight w:val="0"/>
      <w:marTop w:val="0"/>
      <w:marBottom w:val="0"/>
      <w:divBdr>
        <w:top w:val="none" w:sz="0" w:space="0" w:color="auto"/>
        <w:left w:val="none" w:sz="0" w:space="0" w:color="auto"/>
        <w:bottom w:val="none" w:sz="0" w:space="0" w:color="auto"/>
        <w:right w:val="none" w:sz="0" w:space="0" w:color="auto"/>
      </w:divBdr>
    </w:div>
    <w:div w:id="606161537">
      <w:bodyDiv w:val="1"/>
      <w:marLeft w:val="0"/>
      <w:marRight w:val="0"/>
      <w:marTop w:val="0"/>
      <w:marBottom w:val="0"/>
      <w:divBdr>
        <w:top w:val="none" w:sz="0" w:space="0" w:color="auto"/>
        <w:left w:val="none" w:sz="0" w:space="0" w:color="auto"/>
        <w:bottom w:val="none" w:sz="0" w:space="0" w:color="auto"/>
        <w:right w:val="none" w:sz="0" w:space="0" w:color="auto"/>
      </w:divBdr>
    </w:div>
    <w:div w:id="673993230">
      <w:bodyDiv w:val="1"/>
      <w:marLeft w:val="0"/>
      <w:marRight w:val="0"/>
      <w:marTop w:val="0"/>
      <w:marBottom w:val="0"/>
      <w:divBdr>
        <w:top w:val="none" w:sz="0" w:space="0" w:color="auto"/>
        <w:left w:val="none" w:sz="0" w:space="0" w:color="auto"/>
        <w:bottom w:val="none" w:sz="0" w:space="0" w:color="auto"/>
        <w:right w:val="none" w:sz="0" w:space="0" w:color="auto"/>
      </w:divBdr>
    </w:div>
    <w:div w:id="808209683">
      <w:bodyDiv w:val="1"/>
      <w:marLeft w:val="0"/>
      <w:marRight w:val="0"/>
      <w:marTop w:val="0"/>
      <w:marBottom w:val="0"/>
      <w:divBdr>
        <w:top w:val="none" w:sz="0" w:space="0" w:color="auto"/>
        <w:left w:val="none" w:sz="0" w:space="0" w:color="auto"/>
        <w:bottom w:val="none" w:sz="0" w:space="0" w:color="auto"/>
        <w:right w:val="none" w:sz="0" w:space="0" w:color="auto"/>
      </w:divBdr>
    </w:div>
    <w:div w:id="1000307089">
      <w:bodyDiv w:val="1"/>
      <w:marLeft w:val="0"/>
      <w:marRight w:val="0"/>
      <w:marTop w:val="0"/>
      <w:marBottom w:val="0"/>
      <w:divBdr>
        <w:top w:val="none" w:sz="0" w:space="0" w:color="auto"/>
        <w:left w:val="none" w:sz="0" w:space="0" w:color="auto"/>
        <w:bottom w:val="none" w:sz="0" w:space="0" w:color="auto"/>
        <w:right w:val="none" w:sz="0" w:space="0" w:color="auto"/>
      </w:divBdr>
    </w:div>
    <w:div w:id="1315523827">
      <w:bodyDiv w:val="1"/>
      <w:marLeft w:val="0"/>
      <w:marRight w:val="0"/>
      <w:marTop w:val="0"/>
      <w:marBottom w:val="0"/>
      <w:divBdr>
        <w:top w:val="none" w:sz="0" w:space="0" w:color="auto"/>
        <w:left w:val="none" w:sz="0" w:space="0" w:color="auto"/>
        <w:bottom w:val="none" w:sz="0" w:space="0" w:color="auto"/>
        <w:right w:val="none" w:sz="0" w:space="0" w:color="auto"/>
      </w:divBdr>
    </w:div>
    <w:div w:id="1353065716">
      <w:bodyDiv w:val="1"/>
      <w:marLeft w:val="0"/>
      <w:marRight w:val="0"/>
      <w:marTop w:val="0"/>
      <w:marBottom w:val="0"/>
      <w:divBdr>
        <w:top w:val="none" w:sz="0" w:space="0" w:color="auto"/>
        <w:left w:val="none" w:sz="0" w:space="0" w:color="auto"/>
        <w:bottom w:val="none" w:sz="0" w:space="0" w:color="auto"/>
        <w:right w:val="none" w:sz="0" w:space="0" w:color="auto"/>
      </w:divBdr>
    </w:div>
    <w:div w:id="1573004194">
      <w:bodyDiv w:val="1"/>
      <w:marLeft w:val="0"/>
      <w:marRight w:val="0"/>
      <w:marTop w:val="0"/>
      <w:marBottom w:val="0"/>
      <w:divBdr>
        <w:top w:val="none" w:sz="0" w:space="0" w:color="auto"/>
        <w:left w:val="none" w:sz="0" w:space="0" w:color="auto"/>
        <w:bottom w:val="none" w:sz="0" w:space="0" w:color="auto"/>
        <w:right w:val="none" w:sz="0" w:space="0" w:color="auto"/>
      </w:divBdr>
    </w:div>
    <w:div w:id="1580289609">
      <w:bodyDiv w:val="1"/>
      <w:marLeft w:val="0"/>
      <w:marRight w:val="0"/>
      <w:marTop w:val="0"/>
      <w:marBottom w:val="0"/>
      <w:divBdr>
        <w:top w:val="none" w:sz="0" w:space="0" w:color="auto"/>
        <w:left w:val="none" w:sz="0" w:space="0" w:color="auto"/>
        <w:bottom w:val="none" w:sz="0" w:space="0" w:color="auto"/>
        <w:right w:val="none" w:sz="0" w:space="0" w:color="auto"/>
      </w:divBdr>
    </w:div>
    <w:div w:id="16130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ugr.es/~pwlac/G25_23Eguzki_Urteaga.html"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1605E-A653-451C-9D1A-C06E6C9771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Milena Patiño Villa</dc:creator>
  <lastModifiedBy>Diana Patricia Restrepo Ruiz</lastModifiedBy>
  <revision>11</revision>
  <lastPrinted>2011-01-25T01:16:00.0000000Z</lastPrinted>
  <dcterms:created xsi:type="dcterms:W3CDTF">2025-02-17T15:45:00.0000000Z</dcterms:created>
  <dcterms:modified xsi:type="dcterms:W3CDTF">2025-02-26T18:50:34.2327808Z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